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72" w:rsidRDefault="00155072">
      <w:bookmarkStart w:id="0" w:name="_GoBack"/>
      <w:bookmarkEnd w:id="0"/>
    </w:p>
    <w:p w:rsidR="00155072" w:rsidRDefault="00155072"/>
    <w:p w:rsidR="00155072" w:rsidRDefault="00BE551C">
      <w:r w:rsidRPr="00BE551C">
        <w:rPr>
          <w:noProof/>
          <w:lang w:eastAsia="en-GB"/>
        </w:rPr>
        <w:drawing>
          <wp:inline distT="0" distB="0" distL="0" distR="0">
            <wp:extent cx="5733415" cy="3304883"/>
            <wp:effectExtent l="0" t="0" r="635" b="0"/>
            <wp:docPr id="2" name="Picture 2" descr="H:\ATRIUM HOMES\Standard Forms\Logos\Atrium Homes\Atrium Homes Logo JP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RIUM HOMES\Standard Forms\Logos\Atrium Homes\Atrium Homes Logo JPG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415" cy="3304883"/>
                    </a:xfrm>
                    <a:prstGeom prst="rect">
                      <a:avLst/>
                    </a:prstGeom>
                    <a:noFill/>
                    <a:ln>
                      <a:noFill/>
                    </a:ln>
                  </pic:spPr>
                </pic:pic>
              </a:graphicData>
            </a:graphic>
          </wp:inline>
        </w:drawing>
      </w:r>
    </w:p>
    <w:p w:rsidR="00155072" w:rsidRDefault="00155072"/>
    <w:p w:rsidR="00155072" w:rsidRDefault="00155072"/>
    <w:p w:rsidR="00155072" w:rsidRDefault="00155072"/>
    <w:p w:rsidR="00026120" w:rsidRDefault="00026120">
      <w:pPr>
        <w:jc w:val="center"/>
      </w:pPr>
    </w:p>
    <w:p w:rsidR="00026120" w:rsidRDefault="00026120"/>
    <w:p w:rsidR="00026120" w:rsidRDefault="00026120"/>
    <w:p w:rsidR="00026120" w:rsidRDefault="00026120"/>
    <w:p w:rsidR="00026120" w:rsidRDefault="00026120">
      <w:pPr>
        <w:pStyle w:val="InsideAddressName"/>
      </w:pPr>
    </w:p>
    <w:p w:rsidR="00026120" w:rsidRDefault="00026120"/>
    <w:p w:rsidR="00026120" w:rsidRDefault="00026120"/>
    <w:p w:rsidR="00026120" w:rsidRDefault="00026120"/>
    <w:p w:rsidR="00026120" w:rsidRDefault="00026120"/>
    <w:p w:rsidR="00026120" w:rsidRDefault="00026120"/>
    <w:p w:rsidR="00026120" w:rsidRDefault="007957EC" w:rsidP="002E061F">
      <w:pPr>
        <w:jc w:val="center"/>
        <w:rPr>
          <w:b/>
          <w:sz w:val="60"/>
        </w:rPr>
      </w:pPr>
      <w:r>
        <w:rPr>
          <w:b/>
          <w:sz w:val="60"/>
        </w:rPr>
        <w:t>Deceased</w:t>
      </w:r>
      <w:r w:rsidR="002E061F" w:rsidRPr="002E061F">
        <w:rPr>
          <w:b/>
          <w:sz w:val="60"/>
        </w:rPr>
        <w:t xml:space="preserve"> Tenant</w:t>
      </w:r>
      <w:r w:rsidR="002E061F">
        <w:rPr>
          <w:b/>
          <w:sz w:val="60"/>
        </w:rPr>
        <w:t xml:space="preserve"> </w:t>
      </w:r>
      <w:r w:rsidR="00026120">
        <w:rPr>
          <w:b/>
          <w:sz w:val="60"/>
        </w:rPr>
        <w:t>Policy</w:t>
      </w:r>
    </w:p>
    <w:p w:rsidR="00026120" w:rsidRDefault="00026120"/>
    <w:p w:rsidR="00026120" w:rsidRDefault="00026120"/>
    <w:p w:rsidR="00026120" w:rsidRDefault="00026120"/>
    <w:p w:rsidR="00026120" w:rsidRDefault="00026120"/>
    <w:p w:rsidR="00026120" w:rsidRDefault="00026120"/>
    <w:p w:rsidR="00026120" w:rsidRDefault="00026120"/>
    <w:p w:rsidR="00026120" w:rsidRDefault="00026120"/>
    <w:p w:rsidR="00026120" w:rsidRDefault="00026120"/>
    <w:p w:rsidR="00026120" w:rsidRDefault="00026120"/>
    <w:p w:rsidR="00026120" w:rsidRDefault="00026120"/>
    <w:p w:rsidR="00026120" w:rsidRDefault="00026120"/>
    <w:p w:rsidR="00026120" w:rsidRDefault="00026120"/>
    <w:p w:rsidR="00026120" w:rsidRDefault="00B3388C">
      <w:r>
        <w:rPr>
          <w:sz w:val="30"/>
        </w:rPr>
        <w:t xml:space="preserve"> May 2021</w:t>
      </w:r>
    </w:p>
    <w:p w:rsidR="00026120" w:rsidRDefault="00026120"/>
    <w:p w:rsidR="00026120" w:rsidRDefault="00026120">
      <w:pPr>
        <w:pStyle w:val="InsideAddressName"/>
      </w:pPr>
    </w:p>
    <w:p w:rsidR="00026120" w:rsidRDefault="00026120">
      <w:pPr>
        <w:jc w:val="center"/>
        <w:rPr>
          <w:sz w:val="30"/>
        </w:rPr>
      </w:pPr>
    </w:p>
    <w:p w:rsidR="00026120" w:rsidRDefault="00026120">
      <w:pPr>
        <w:jc w:val="center"/>
        <w:rPr>
          <w:b/>
          <w:bCs/>
          <w:sz w:val="30"/>
        </w:rPr>
      </w:pPr>
      <w:r>
        <w:rPr>
          <w:b/>
          <w:bCs/>
          <w:sz w:val="30"/>
        </w:rPr>
        <w:t>Atrium Homes</w:t>
      </w:r>
    </w:p>
    <w:p w:rsidR="00026120" w:rsidRDefault="00026120">
      <w:pPr>
        <w:jc w:val="center"/>
        <w:rPr>
          <w:b/>
        </w:rPr>
      </w:pPr>
    </w:p>
    <w:p w:rsidR="00026120" w:rsidRDefault="00804B4B">
      <w:pPr>
        <w:jc w:val="center"/>
        <w:rPr>
          <w:sz w:val="28"/>
        </w:rPr>
      </w:pPr>
      <w:r>
        <w:rPr>
          <w:b/>
          <w:sz w:val="28"/>
        </w:rPr>
        <w:t>Deceased</w:t>
      </w:r>
      <w:r w:rsidR="002E061F">
        <w:rPr>
          <w:b/>
          <w:sz w:val="28"/>
        </w:rPr>
        <w:t xml:space="preserve"> Tenant</w:t>
      </w:r>
      <w:r w:rsidR="00026120">
        <w:rPr>
          <w:b/>
          <w:sz w:val="28"/>
        </w:rPr>
        <w:t xml:space="preserve"> Policy</w:t>
      </w:r>
    </w:p>
    <w:p w:rsidR="00026120" w:rsidRDefault="00026120"/>
    <w:p w:rsidR="00026120" w:rsidRDefault="00026120"/>
    <w:p w:rsidR="00026120" w:rsidRDefault="00026120">
      <w:pPr>
        <w:pStyle w:val="Heading1"/>
        <w:numPr>
          <w:ilvl w:val="0"/>
          <w:numId w:val="2"/>
        </w:numPr>
        <w:jc w:val="left"/>
        <w:rPr>
          <w:sz w:val="24"/>
        </w:rPr>
      </w:pPr>
      <w:r>
        <w:rPr>
          <w:sz w:val="24"/>
        </w:rPr>
        <w:t>Introduction</w:t>
      </w:r>
    </w:p>
    <w:p w:rsidR="00026120" w:rsidRPr="001C6460" w:rsidRDefault="002E061F">
      <w:pPr>
        <w:pStyle w:val="BlockText"/>
        <w:numPr>
          <w:ilvl w:val="1"/>
          <w:numId w:val="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sz w:val="24"/>
          <w:szCs w:val="24"/>
        </w:rPr>
      </w:pPr>
      <w:r w:rsidRPr="001C6460">
        <w:rPr>
          <w:rFonts w:ascii="Arial" w:hAnsi="Arial" w:cs="Arial"/>
          <w:sz w:val="24"/>
          <w:szCs w:val="24"/>
        </w:rPr>
        <w:t xml:space="preserve">This Policy aims to address the requirements of </w:t>
      </w:r>
      <w:r w:rsidR="0060758A">
        <w:rPr>
          <w:rFonts w:ascii="Arial" w:hAnsi="Arial" w:cs="Arial"/>
          <w:sz w:val="24"/>
          <w:szCs w:val="24"/>
        </w:rPr>
        <w:t xml:space="preserve">the </w:t>
      </w:r>
      <w:r w:rsidRPr="001C6460">
        <w:rPr>
          <w:rFonts w:ascii="Arial" w:hAnsi="Arial" w:cs="Arial"/>
          <w:sz w:val="24"/>
          <w:szCs w:val="24"/>
        </w:rPr>
        <w:t>Scottish</w:t>
      </w:r>
      <w:r w:rsidRPr="001C6460">
        <w:rPr>
          <w:sz w:val="24"/>
          <w:szCs w:val="24"/>
        </w:rPr>
        <w:t xml:space="preserve"> </w:t>
      </w:r>
      <w:r w:rsidR="007D2BFF">
        <w:rPr>
          <w:rFonts w:ascii="Arial" w:hAnsi="Arial" w:cs="Arial"/>
          <w:sz w:val="24"/>
          <w:szCs w:val="24"/>
        </w:rPr>
        <w:t>Government’s Scottish Social Housing Charter</w:t>
      </w:r>
      <w:r w:rsidR="0060758A">
        <w:rPr>
          <w:rFonts w:ascii="Arial" w:hAnsi="Arial" w:cs="Arial"/>
          <w:sz w:val="24"/>
          <w:szCs w:val="24"/>
        </w:rPr>
        <w:t>.</w:t>
      </w:r>
    </w:p>
    <w:p w:rsidR="00026120" w:rsidRDefault="00026120" w:rsidP="002D16FA">
      <w:pPr>
        <w:pStyle w:val="Block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jc w:val="both"/>
        <w:rPr>
          <w:rFonts w:ascii="Univers" w:hAnsi="Univers"/>
        </w:rPr>
      </w:pPr>
    </w:p>
    <w:p w:rsidR="00026120" w:rsidRPr="00D64D30" w:rsidRDefault="00D64D30" w:rsidP="00D64D30">
      <w:pPr>
        <w:pStyle w:val="BlockText"/>
        <w:numPr>
          <w:ilvl w:val="1"/>
          <w:numId w:val="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sz w:val="24"/>
        </w:rPr>
      </w:pPr>
      <w:r w:rsidRPr="00D64D30">
        <w:rPr>
          <w:rFonts w:ascii="Arial" w:hAnsi="Arial"/>
          <w:sz w:val="24"/>
        </w:rPr>
        <w:t>The key legislation governing this policy is the Housing (Scotland) Act 2001</w:t>
      </w:r>
      <w:r w:rsidR="00AC6492" w:rsidRPr="00D64D30">
        <w:rPr>
          <w:rFonts w:ascii="Arial" w:hAnsi="Arial"/>
          <w:sz w:val="24"/>
        </w:rPr>
        <w:t>,</w:t>
      </w:r>
      <w:r w:rsidR="00AC6492">
        <w:rPr>
          <w:rFonts w:ascii="Arial" w:hAnsi="Arial"/>
          <w:sz w:val="24"/>
        </w:rPr>
        <w:t xml:space="preserve"> Housing</w:t>
      </w:r>
      <w:r w:rsidR="0060758A">
        <w:rPr>
          <w:rFonts w:ascii="Arial" w:hAnsi="Arial"/>
          <w:sz w:val="24"/>
        </w:rPr>
        <w:t xml:space="preserve"> (Scotland) Act 2014,</w:t>
      </w:r>
      <w:r w:rsidRPr="00D64D30">
        <w:rPr>
          <w:rFonts w:ascii="Arial" w:hAnsi="Arial"/>
          <w:sz w:val="24"/>
        </w:rPr>
        <w:t xml:space="preserve"> Scotland Act 1998, National Assistance Act 1948 and the Data Protection Act 1998.</w:t>
      </w:r>
    </w:p>
    <w:p w:rsidR="00D64D30" w:rsidRDefault="00D64D30" w:rsidP="00D64D30">
      <w:pPr>
        <w:pStyle w:val="Block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34" w:firstLine="0"/>
        <w:jc w:val="both"/>
        <w:rPr>
          <w:rFonts w:ascii="Arial" w:hAnsi="Arial"/>
          <w:sz w:val="24"/>
        </w:rPr>
      </w:pPr>
    </w:p>
    <w:p w:rsidR="00FF0BE4" w:rsidRDefault="002D16FA" w:rsidP="00155072">
      <w:pPr>
        <w:pStyle w:val="BlockText"/>
        <w:tabs>
          <w:tab w:val="clear" w:pos="0"/>
          <w:tab w:val="clear" w:pos="360"/>
        </w:tabs>
        <w:ind w:left="1134"/>
        <w:jc w:val="both"/>
        <w:rPr>
          <w:rFonts w:ascii="Arial" w:hAnsi="Arial"/>
          <w:sz w:val="24"/>
        </w:rPr>
      </w:pPr>
      <w:r>
        <w:rPr>
          <w:rFonts w:ascii="Arial" w:hAnsi="Arial"/>
          <w:sz w:val="24"/>
        </w:rPr>
        <w:t>1.3</w:t>
      </w:r>
      <w:r>
        <w:rPr>
          <w:rFonts w:ascii="Arial" w:hAnsi="Arial"/>
          <w:sz w:val="24"/>
        </w:rPr>
        <w:tab/>
      </w:r>
      <w:r w:rsidR="00026120">
        <w:rPr>
          <w:rFonts w:ascii="Arial" w:hAnsi="Arial"/>
          <w:sz w:val="24"/>
        </w:rPr>
        <w:t xml:space="preserve">Atrium </w:t>
      </w:r>
      <w:r w:rsidR="00D64D30" w:rsidRPr="00D64D30">
        <w:rPr>
          <w:rFonts w:ascii="Arial" w:hAnsi="Arial"/>
          <w:sz w:val="24"/>
        </w:rPr>
        <w:t xml:space="preserve">Homes will aim to ensure </w:t>
      </w:r>
      <w:r w:rsidR="00FF0BE4">
        <w:rPr>
          <w:rFonts w:ascii="Arial" w:hAnsi="Arial"/>
          <w:sz w:val="24"/>
        </w:rPr>
        <w:t xml:space="preserve">that the implementation of this policy is in accordance with Atrium Homes’ Equality and Diversity Policy. </w:t>
      </w:r>
    </w:p>
    <w:p w:rsidR="002D16FA" w:rsidRDefault="002D16FA" w:rsidP="00155072">
      <w:pPr>
        <w:pStyle w:val="BlockText"/>
        <w:tabs>
          <w:tab w:val="clear" w:pos="0"/>
          <w:tab w:val="clear" w:pos="360"/>
        </w:tabs>
        <w:ind w:left="1134"/>
        <w:jc w:val="both"/>
        <w:rPr>
          <w:rFonts w:ascii="Arial" w:hAnsi="Arial"/>
          <w:sz w:val="24"/>
        </w:rPr>
      </w:pPr>
    </w:p>
    <w:p w:rsidR="00026120" w:rsidRDefault="00D64D30">
      <w:pPr>
        <w:numPr>
          <w:ilvl w:val="0"/>
          <w:numId w:val="2"/>
        </w:numPr>
        <w:jc w:val="both"/>
        <w:rPr>
          <w:b/>
          <w:sz w:val="26"/>
        </w:rPr>
      </w:pPr>
      <w:r>
        <w:rPr>
          <w:b/>
          <w:sz w:val="26"/>
        </w:rPr>
        <w:t>Policy Objectives</w:t>
      </w:r>
    </w:p>
    <w:p w:rsidR="00D64D30" w:rsidRDefault="00D64D30" w:rsidP="00D64D30">
      <w:pPr>
        <w:ind w:left="360"/>
        <w:jc w:val="both"/>
        <w:rPr>
          <w:b/>
          <w:sz w:val="26"/>
        </w:rPr>
      </w:pPr>
    </w:p>
    <w:p w:rsidR="00026120" w:rsidRDefault="00D64D30">
      <w:pPr>
        <w:numPr>
          <w:ilvl w:val="1"/>
          <w:numId w:val="2"/>
        </w:numPr>
        <w:jc w:val="both"/>
      </w:pPr>
      <w:r>
        <w:t xml:space="preserve">It is the aim of Atrium Homes to deal with cases of death in a sympathetic and professional manner. Whilst taking account of the bereaved family’s loss, Atrium must </w:t>
      </w:r>
      <w:r w:rsidR="007957EC">
        <w:t>also be aware</w:t>
      </w:r>
      <w:r>
        <w:t xml:space="preserve"> of its business needs, and ensure the most effective use of stock and that rent loss is minimised.</w:t>
      </w:r>
    </w:p>
    <w:p w:rsidR="00026120" w:rsidRDefault="00026120">
      <w:pPr>
        <w:jc w:val="both"/>
      </w:pPr>
    </w:p>
    <w:p w:rsidR="00026120" w:rsidRDefault="00D64D30">
      <w:pPr>
        <w:numPr>
          <w:ilvl w:val="1"/>
          <w:numId w:val="2"/>
        </w:numPr>
        <w:jc w:val="both"/>
      </w:pPr>
      <w:r>
        <w:t xml:space="preserve">The objective of this policy is to clarify Atrium’s position and to give staff guidance when dealing with situations involving deceased tenants. This Policy is also for use as an operational document and therefore contains elements of a procedural nature.    </w:t>
      </w:r>
    </w:p>
    <w:p w:rsidR="00026120" w:rsidRPr="007F1682" w:rsidRDefault="00026120">
      <w:pPr>
        <w:jc w:val="both"/>
        <w:rPr>
          <w:szCs w:val="24"/>
        </w:rPr>
      </w:pPr>
    </w:p>
    <w:p w:rsidR="00026120" w:rsidRDefault="007F1682">
      <w:pPr>
        <w:numPr>
          <w:ilvl w:val="0"/>
          <w:numId w:val="2"/>
        </w:numPr>
        <w:jc w:val="both"/>
        <w:rPr>
          <w:b/>
          <w:sz w:val="26"/>
        </w:rPr>
      </w:pPr>
      <w:r>
        <w:rPr>
          <w:b/>
          <w:sz w:val="26"/>
        </w:rPr>
        <w:t>Risk Management</w:t>
      </w:r>
    </w:p>
    <w:p w:rsidR="007F1682" w:rsidRPr="007F1682" w:rsidRDefault="007F1682" w:rsidP="007F1682">
      <w:pPr>
        <w:ind w:left="360"/>
        <w:jc w:val="both"/>
        <w:rPr>
          <w:b/>
          <w:sz w:val="26"/>
        </w:rPr>
      </w:pPr>
    </w:p>
    <w:p w:rsidR="007F1682" w:rsidRDefault="007F1682" w:rsidP="007F1682">
      <w:pPr>
        <w:numPr>
          <w:ilvl w:val="1"/>
          <w:numId w:val="2"/>
        </w:numPr>
        <w:jc w:val="both"/>
      </w:pPr>
      <w:r>
        <w:t xml:space="preserve">By having a written detailed </w:t>
      </w:r>
      <w:r w:rsidR="00804B4B">
        <w:t>Deceased</w:t>
      </w:r>
      <w:r>
        <w:t xml:space="preserve"> Tenant Policy Atrium is able to ensure that a uniform and professional approach is adopted throughout the organisation and the service delivered is compliant with law, best practice and internal policy. In addition this policy will help minimise rent loss.</w:t>
      </w:r>
    </w:p>
    <w:p w:rsidR="00026120" w:rsidRDefault="00026120">
      <w:pPr>
        <w:ind w:left="397"/>
        <w:jc w:val="both"/>
      </w:pPr>
    </w:p>
    <w:p w:rsidR="00026120" w:rsidRDefault="007F1682" w:rsidP="007F1682">
      <w:pPr>
        <w:numPr>
          <w:ilvl w:val="1"/>
          <w:numId w:val="2"/>
        </w:numPr>
        <w:jc w:val="both"/>
      </w:pPr>
      <w:r>
        <w:t xml:space="preserve">The risk of not having this policy in place is an absence of the above, Atrium being open to </w:t>
      </w:r>
      <w:proofErr w:type="spellStart"/>
      <w:r>
        <w:t>mis</w:t>
      </w:r>
      <w:proofErr w:type="spellEnd"/>
      <w:r>
        <w:t>-management, bias, unfairness and inequality.</w:t>
      </w:r>
    </w:p>
    <w:p w:rsidR="007F1682" w:rsidRDefault="007F1682" w:rsidP="007F1682">
      <w:pPr>
        <w:jc w:val="both"/>
      </w:pPr>
    </w:p>
    <w:p w:rsidR="00026120" w:rsidRDefault="007F1682" w:rsidP="007F1682">
      <w:pPr>
        <w:numPr>
          <w:ilvl w:val="0"/>
          <w:numId w:val="2"/>
        </w:numPr>
        <w:jc w:val="both"/>
        <w:rPr>
          <w:b/>
          <w:sz w:val="26"/>
        </w:rPr>
      </w:pPr>
      <w:r>
        <w:rPr>
          <w:b/>
          <w:sz w:val="26"/>
        </w:rPr>
        <w:t>Tenancy End Date</w:t>
      </w:r>
    </w:p>
    <w:p w:rsidR="007F1682" w:rsidRPr="007F1682" w:rsidRDefault="007F1682" w:rsidP="007F1682">
      <w:pPr>
        <w:ind w:left="360"/>
        <w:jc w:val="both"/>
        <w:rPr>
          <w:b/>
          <w:sz w:val="26"/>
        </w:rPr>
      </w:pPr>
    </w:p>
    <w:p w:rsidR="00026120" w:rsidRDefault="007F1682" w:rsidP="007F1682">
      <w:pPr>
        <w:numPr>
          <w:ilvl w:val="1"/>
          <w:numId w:val="2"/>
        </w:numPr>
        <w:jc w:val="both"/>
      </w:pPr>
      <w:r>
        <w:t xml:space="preserve">When we receive notification of the death of a tenant, where no person qualifies to succeed </w:t>
      </w:r>
      <w:r w:rsidR="00FF0BE4">
        <w:t xml:space="preserve">to </w:t>
      </w:r>
      <w:r>
        <w:t xml:space="preserve">the tenancy, a period of up to two weeks </w:t>
      </w:r>
      <w:r w:rsidR="00AC6492">
        <w:t>will normally</w:t>
      </w:r>
      <w:r>
        <w:t xml:space="preserve"> be allowed for the house to be cleared.  Atrium recognise</w:t>
      </w:r>
      <w:r w:rsidR="00FF0BE4">
        <w:t>s</w:t>
      </w:r>
      <w:r>
        <w:t xml:space="preserve"> the difficulties and sensitivities associated with clearing </w:t>
      </w:r>
      <w:r w:rsidR="00D65A79">
        <w:t xml:space="preserve">the </w:t>
      </w:r>
      <w:r>
        <w:t xml:space="preserve">belongings of a deceased person, therefore the </w:t>
      </w:r>
      <w:r w:rsidR="00804B4B">
        <w:t>Operations Manager</w:t>
      </w:r>
      <w:r>
        <w:t xml:space="preserve"> has the discretion to extend this period.</w:t>
      </w:r>
    </w:p>
    <w:p w:rsidR="007F1682" w:rsidRDefault="007F1682" w:rsidP="007F1682">
      <w:pPr>
        <w:ind w:left="1134"/>
        <w:jc w:val="both"/>
      </w:pPr>
    </w:p>
    <w:p w:rsidR="00026120" w:rsidRDefault="007F1682">
      <w:pPr>
        <w:numPr>
          <w:ilvl w:val="1"/>
          <w:numId w:val="2"/>
        </w:numPr>
        <w:jc w:val="both"/>
      </w:pPr>
      <w:r>
        <w:lastRenderedPageBreak/>
        <w:t>In the event of the death of a tenant when there is no qualified person to succeed to the tenancy, the tenancy ends on notification of the tenant’s death, however, the tenancy will terminate on receipt of the keys.</w:t>
      </w:r>
    </w:p>
    <w:p w:rsidR="007F1682" w:rsidRDefault="007F1682" w:rsidP="007F1682">
      <w:pPr>
        <w:pStyle w:val="ListParagraph"/>
      </w:pPr>
    </w:p>
    <w:p w:rsidR="007F1682" w:rsidRDefault="007F1682">
      <w:pPr>
        <w:numPr>
          <w:ilvl w:val="1"/>
          <w:numId w:val="2"/>
        </w:numPr>
        <w:jc w:val="both"/>
      </w:pPr>
      <w:r>
        <w:t xml:space="preserve">Rights to housing benefit </w:t>
      </w:r>
      <w:r w:rsidR="0060758A">
        <w:t xml:space="preserve">and the housing costs element of Universal Credit </w:t>
      </w:r>
      <w:r>
        <w:t>normally end on the death of the tenant.  Atrium has the discretion to claim the tenant’s estate for any rent accrued after the tenant’s death if applicable.</w:t>
      </w:r>
    </w:p>
    <w:p w:rsidR="007F1682" w:rsidRDefault="007F1682" w:rsidP="007F1682">
      <w:pPr>
        <w:pStyle w:val="ListParagraph"/>
      </w:pPr>
    </w:p>
    <w:p w:rsidR="007F1682" w:rsidRDefault="00DB60DD">
      <w:pPr>
        <w:numPr>
          <w:ilvl w:val="1"/>
          <w:numId w:val="2"/>
        </w:numPr>
        <w:jc w:val="both"/>
      </w:pPr>
      <w:r>
        <w:t xml:space="preserve">If Atrium is </w:t>
      </w:r>
      <w:r w:rsidR="0094555B">
        <w:t>unable to</w:t>
      </w:r>
      <w:r w:rsidR="007F1682">
        <w:t xml:space="preserve"> claim any arrears or rent accrued through the tenant’s estate the Estates Officer will identify this amount for future write off. Reference should be made to the Debt </w:t>
      </w:r>
      <w:r w:rsidR="00AC6492">
        <w:t>Management Policy</w:t>
      </w:r>
      <w:r w:rsidR="0060758A">
        <w:t xml:space="preserve"> for the criteria for Write Off.  </w:t>
      </w:r>
    </w:p>
    <w:p w:rsidR="006C68D4" w:rsidRDefault="006C68D4" w:rsidP="006C68D4">
      <w:pPr>
        <w:pStyle w:val="ListParagraph"/>
      </w:pPr>
    </w:p>
    <w:p w:rsidR="006C68D4" w:rsidRDefault="006C68D4">
      <w:pPr>
        <w:numPr>
          <w:ilvl w:val="1"/>
          <w:numId w:val="2"/>
        </w:numPr>
        <w:jc w:val="both"/>
      </w:pPr>
      <w:r>
        <w:t xml:space="preserve">Any funds received from relatives or the estate should be treated as </w:t>
      </w:r>
      <w:r>
        <w:rPr>
          <w:i/>
        </w:rPr>
        <w:t xml:space="preserve">violent profits </w:t>
      </w:r>
      <w:r>
        <w:t>and kept separately from the rent account.</w:t>
      </w:r>
    </w:p>
    <w:p w:rsidR="00026120" w:rsidRDefault="00026120">
      <w:pPr>
        <w:ind w:left="397"/>
        <w:jc w:val="both"/>
      </w:pPr>
    </w:p>
    <w:p w:rsidR="00026120" w:rsidRDefault="007F1682">
      <w:pPr>
        <w:numPr>
          <w:ilvl w:val="0"/>
          <w:numId w:val="2"/>
        </w:numPr>
        <w:jc w:val="both"/>
        <w:rPr>
          <w:b/>
          <w:sz w:val="26"/>
        </w:rPr>
      </w:pPr>
      <w:r>
        <w:rPr>
          <w:b/>
          <w:sz w:val="26"/>
        </w:rPr>
        <w:t>Terminating the Tenancy/ Succession to Tenancy</w:t>
      </w:r>
    </w:p>
    <w:p w:rsidR="007F1682" w:rsidRPr="007F1682" w:rsidRDefault="007F1682" w:rsidP="007F1682">
      <w:pPr>
        <w:ind w:left="360"/>
        <w:jc w:val="both"/>
        <w:rPr>
          <w:b/>
          <w:sz w:val="26"/>
        </w:rPr>
      </w:pPr>
    </w:p>
    <w:p w:rsidR="00026120" w:rsidRDefault="007F1682">
      <w:pPr>
        <w:numPr>
          <w:ilvl w:val="1"/>
          <w:numId w:val="2"/>
        </w:numPr>
        <w:jc w:val="both"/>
      </w:pPr>
      <w:r>
        <w:t xml:space="preserve">If there is a qualified person(s), reference should be made to the </w:t>
      </w:r>
      <w:r w:rsidR="00804B4B">
        <w:t xml:space="preserve">Tenancy </w:t>
      </w:r>
      <w:r>
        <w:t>Policy – Persons claiming the right to succeed to a tenancy should inform Atrium in writing within 28 days of the tenant’s death.</w:t>
      </w:r>
      <w:r w:rsidR="00026120">
        <w:t xml:space="preserve"> </w:t>
      </w:r>
    </w:p>
    <w:p w:rsidR="00026120" w:rsidRDefault="002D16FA">
      <w:pPr>
        <w:numPr>
          <w:ilvl w:val="1"/>
          <w:numId w:val="2"/>
        </w:numPr>
        <w:jc w:val="both"/>
      </w:pPr>
      <w:r>
        <w:t xml:space="preserve">Any persons </w:t>
      </w:r>
      <w:r w:rsidR="0060758A">
        <w:t>with no</w:t>
      </w:r>
      <w:r w:rsidR="007F1682">
        <w:t xml:space="preserve"> legal entitlement to the tenancy </w:t>
      </w:r>
      <w:r w:rsidR="0060758A">
        <w:t xml:space="preserve">who </w:t>
      </w:r>
      <w:r w:rsidR="007F1682">
        <w:t>fail to vacate the property a</w:t>
      </w:r>
      <w:r>
        <w:t>nd remove their belongings will lead to A</w:t>
      </w:r>
      <w:r w:rsidR="0060758A">
        <w:t xml:space="preserve">trium </w:t>
      </w:r>
      <w:r w:rsidR="00AC6492">
        <w:t>taking summary</w:t>
      </w:r>
      <w:r w:rsidR="007F1682">
        <w:t xml:space="preserve"> court action to recover the property and reclaim loss of rental income. In these circumstances the Estates Officer shall advise the </w:t>
      </w:r>
      <w:r w:rsidR="00804B4B">
        <w:t>Operations Manager</w:t>
      </w:r>
      <w:r w:rsidR="007F1682">
        <w:t xml:space="preserve"> who will seek legal advice</w:t>
      </w:r>
      <w:r w:rsidR="00026120">
        <w:t>.</w:t>
      </w:r>
    </w:p>
    <w:p w:rsidR="00026120" w:rsidRDefault="00026120">
      <w:pPr>
        <w:jc w:val="both"/>
      </w:pPr>
    </w:p>
    <w:p w:rsidR="00026120" w:rsidRDefault="007F1682">
      <w:pPr>
        <w:numPr>
          <w:ilvl w:val="0"/>
          <w:numId w:val="2"/>
        </w:numPr>
        <w:jc w:val="both"/>
        <w:rPr>
          <w:b/>
          <w:sz w:val="26"/>
        </w:rPr>
      </w:pPr>
      <w:r>
        <w:rPr>
          <w:b/>
          <w:sz w:val="26"/>
        </w:rPr>
        <w:t>Next of Kin/ Closest Relative</w:t>
      </w:r>
    </w:p>
    <w:p w:rsidR="007F1682" w:rsidRDefault="007F1682" w:rsidP="007F1682">
      <w:pPr>
        <w:ind w:left="360"/>
        <w:jc w:val="both"/>
        <w:rPr>
          <w:b/>
          <w:sz w:val="26"/>
        </w:rPr>
      </w:pPr>
    </w:p>
    <w:p w:rsidR="00026120" w:rsidRDefault="00C06C34">
      <w:pPr>
        <w:numPr>
          <w:ilvl w:val="1"/>
          <w:numId w:val="2"/>
        </w:numPr>
        <w:jc w:val="both"/>
      </w:pPr>
      <w:r>
        <w:t>In the vast majority of deaths, Atrium is contacted by the next of kin or relatives of the deceased who take control of all the furniture and personal effects left in the property.</w:t>
      </w:r>
    </w:p>
    <w:p w:rsidR="00026120" w:rsidRDefault="00026120">
      <w:pPr>
        <w:ind w:left="567" w:hanging="567"/>
        <w:jc w:val="both"/>
      </w:pPr>
    </w:p>
    <w:p w:rsidR="00026120" w:rsidRDefault="00C06C34">
      <w:pPr>
        <w:numPr>
          <w:ilvl w:val="1"/>
          <w:numId w:val="2"/>
        </w:numPr>
        <w:jc w:val="both"/>
      </w:pPr>
      <w:r>
        <w:t>A Death Certificate is paramount to end the tenancy and must be obtained from the next of kin or relatives at the earliest convenience. This will also act as proof to the identity of the next of kin and/or relatives. If there is any doubt as to the identity of the person claiming to be the next of kin or relative, further checks must be carried out e.g. I.D. etc.</w:t>
      </w:r>
    </w:p>
    <w:p w:rsidR="00026120" w:rsidRDefault="00026120">
      <w:pPr>
        <w:jc w:val="both"/>
      </w:pPr>
    </w:p>
    <w:p w:rsidR="00026120" w:rsidRDefault="00C06C34" w:rsidP="00C06C34">
      <w:pPr>
        <w:numPr>
          <w:ilvl w:val="1"/>
          <w:numId w:val="2"/>
        </w:numPr>
        <w:jc w:val="both"/>
      </w:pPr>
      <w:r>
        <w:t xml:space="preserve">The next of kin or relatives should be asked to clear the property as quickly as possible (normally within two weeks, however the </w:t>
      </w:r>
      <w:r w:rsidR="00804B4B">
        <w:t>Operations Manager</w:t>
      </w:r>
      <w:r>
        <w:t xml:space="preserve"> has overall discretion on this).</w:t>
      </w:r>
    </w:p>
    <w:p w:rsidR="00C06C34" w:rsidRDefault="00C06C34" w:rsidP="00C06C34">
      <w:pPr>
        <w:pStyle w:val="ListParagraph"/>
      </w:pPr>
    </w:p>
    <w:p w:rsidR="00C06C34" w:rsidRDefault="00C06C34" w:rsidP="00C06C34">
      <w:pPr>
        <w:numPr>
          <w:ilvl w:val="1"/>
          <w:numId w:val="2"/>
        </w:numPr>
        <w:jc w:val="both"/>
      </w:pPr>
      <w:r>
        <w:t>If the next of kin or relatives are unwilling or unable to take responsibility for clearing the property, they should be asked to sign a mandate (Appendix 1) allowing Atrium to clear the property and dispose of any items therein.</w:t>
      </w:r>
    </w:p>
    <w:p w:rsidR="00C06C34" w:rsidRDefault="00C06C34" w:rsidP="00C06C34">
      <w:pPr>
        <w:jc w:val="both"/>
      </w:pPr>
    </w:p>
    <w:p w:rsidR="00026120" w:rsidRPr="00C06C34" w:rsidRDefault="00C06C34" w:rsidP="00C06C34">
      <w:pPr>
        <w:numPr>
          <w:ilvl w:val="0"/>
          <w:numId w:val="2"/>
        </w:numPr>
        <w:jc w:val="both"/>
        <w:rPr>
          <w:b/>
          <w:sz w:val="26"/>
        </w:rPr>
      </w:pPr>
      <w:r>
        <w:rPr>
          <w:b/>
          <w:sz w:val="26"/>
        </w:rPr>
        <w:t>Where there is No Next of Kin or Relatives</w:t>
      </w:r>
    </w:p>
    <w:p w:rsidR="00026120" w:rsidRDefault="00026120"/>
    <w:p w:rsidR="00026120" w:rsidRDefault="00F22F56" w:rsidP="00F22F56">
      <w:pPr>
        <w:numPr>
          <w:ilvl w:val="1"/>
          <w:numId w:val="2"/>
        </w:numPr>
        <w:jc w:val="both"/>
      </w:pPr>
      <w:r>
        <w:t>If there is no next of kin the estate legally becomes ownership of the Government.</w:t>
      </w:r>
    </w:p>
    <w:p w:rsidR="00F22F56" w:rsidRDefault="00F22F56" w:rsidP="00F22F56">
      <w:pPr>
        <w:ind w:left="1134"/>
        <w:jc w:val="both"/>
      </w:pPr>
    </w:p>
    <w:p w:rsidR="000E3022" w:rsidRDefault="00F22F56" w:rsidP="002D16FA">
      <w:pPr>
        <w:numPr>
          <w:ilvl w:val="1"/>
          <w:numId w:val="2"/>
        </w:numPr>
        <w:jc w:val="both"/>
      </w:pPr>
      <w:r w:rsidRPr="000E3022">
        <w:rPr>
          <w:color w:val="000000"/>
        </w:rPr>
        <w:t xml:space="preserve">In cases of suspicious death or where no next of kin or relatives are involved, the Police will in all probability be dealing with this situation, if however they are not, they must be contacted immediately.  </w:t>
      </w:r>
    </w:p>
    <w:p w:rsidR="000E3022" w:rsidRDefault="000E3022" w:rsidP="00155072">
      <w:pPr>
        <w:jc w:val="both"/>
      </w:pPr>
    </w:p>
    <w:p w:rsidR="00F22F56" w:rsidRDefault="00F22F56" w:rsidP="00F22F56">
      <w:pPr>
        <w:numPr>
          <w:ilvl w:val="1"/>
          <w:numId w:val="2"/>
        </w:numPr>
        <w:jc w:val="both"/>
      </w:pPr>
      <w:r>
        <w:t>The Police thereafter will be responsible for contacting one or both of the agencies responsible for funeral arrangements and executing the estate. The agencies referred to are the Local Authority – Environmental Health Department and the Local Procurator Fiscal.</w:t>
      </w:r>
    </w:p>
    <w:p w:rsidR="00F22F56" w:rsidRDefault="00F22F56" w:rsidP="00F22F56">
      <w:pPr>
        <w:pStyle w:val="ListParagraph"/>
      </w:pPr>
    </w:p>
    <w:p w:rsidR="00F22F56" w:rsidRDefault="00F22F56" w:rsidP="00F22F56">
      <w:pPr>
        <w:numPr>
          <w:ilvl w:val="1"/>
          <w:numId w:val="2"/>
        </w:numPr>
        <w:jc w:val="both"/>
      </w:pPr>
      <w:r>
        <w:t>Local authorities have a legal obligation to organise and pay for the funeral of a person who has no next of kin.</w:t>
      </w:r>
      <w:r w:rsidR="00170943">
        <w:t xml:space="preserve"> Section 50 National Assistance Act 1948.</w:t>
      </w:r>
    </w:p>
    <w:p w:rsidR="00F22F56" w:rsidRDefault="00F22F56" w:rsidP="00F22F56">
      <w:pPr>
        <w:pStyle w:val="ListParagraph"/>
      </w:pPr>
    </w:p>
    <w:p w:rsidR="00F22F56" w:rsidRDefault="00F22F56" w:rsidP="00F22F56">
      <w:pPr>
        <w:numPr>
          <w:ilvl w:val="1"/>
          <w:numId w:val="2"/>
        </w:numPr>
        <w:jc w:val="both"/>
      </w:pPr>
      <w:r>
        <w:t>East Ayrshire Councils’ Environmental Health Department</w:t>
      </w:r>
      <w:r w:rsidR="00170943">
        <w:t>, Pollution Control Team,</w:t>
      </w:r>
      <w:r>
        <w:t xml:space="preserve"> are responsible for d</w:t>
      </w:r>
      <w:r w:rsidR="00170943">
        <w:t>ealing with these situations</w:t>
      </w:r>
      <w:r w:rsidR="00AC6492">
        <w:t>,</w:t>
      </w:r>
      <w:r w:rsidR="001C6460">
        <w:t xml:space="preserve"> Entry to the property will be required by the team for the purposes of obtaining paperwork </w:t>
      </w:r>
      <w:r w:rsidR="0094555B">
        <w:t>etc.</w:t>
      </w:r>
      <w:r w:rsidR="001C6460">
        <w:t xml:space="preserve"> and they should be accompanied by an Estates Officer who will document anything removed from the property.</w:t>
      </w:r>
    </w:p>
    <w:p w:rsidR="00F22F56" w:rsidRDefault="00F22F56" w:rsidP="00F22F56">
      <w:pPr>
        <w:pStyle w:val="ListParagraph"/>
      </w:pPr>
    </w:p>
    <w:p w:rsidR="00F22F56" w:rsidRDefault="00F22F56" w:rsidP="00F22F56">
      <w:pPr>
        <w:numPr>
          <w:ilvl w:val="1"/>
          <w:numId w:val="2"/>
        </w:numPr>
        <w:jc w:val="both"/>
      </w:pPr>
      <w:r>
        <w:t xml:space="preserve">If no next of kin has been established, the Police will contact the Local Procurator Fiscal and pass all </w:t>
      </w:r>
      <w:r w:rsidR="00170943">
        <w:t xml:space="preserve">details to them. </w:t>
      </w:r>
      <w:r w:rsidR="00AC6492">
        <w:t>The Local</w:t>
      </w:r>
      <w:r w:rsidR="001C6460">
        <w:t xml:space="preserve"> Fiscal can be contacted on </w:t>
      </w:r>
      <w:r w:rsidR="0064785D">
        <w:rPr>
          <w:rFonts w:cs="Arial"/>
          <w:color w:val="5C666F"/>
          <w:sz w:val="20"/>
          <w:shd w:val="clear" w:color="auto" w:fill="DEE0E2"/>
        </w:rPr>
        <w:t> 0300 020 3000</w:t>
      </w:r>
      <w:r w:rsidR="001C6460">
        <w:t>.</w:t>
      </w:r>
      <w:r>
        <w:t xml:space="preserve"> The Local Fiscal will investigate and liaise with both Atrium, and if necessary the ‘Queen’s and Lord’s Treasurer’s and </w:t>
      </w:r>
      <w:r w:rsidR="00AC6492">
        <w:t>Remembrancer</w:t>
      </w:r>
      <w:r>
        <w:t>’ (QLTR)</w:t>
      </w:r>
    </w:p>
    <w:p w:rsidR="00F22F56" w:rsidRDefault="00F22F56" w:rsidP="00F22F56">
      <w:pPr>
        <w:pStyle w:val="ListParagraph"/>
      </w:pPr>
    </w:p>
    <w:p w:rsidR="00F22F56" w:rsidRDefault="00F22F56" w:rsidP="00F22F56">
      <w:pPr>
        <w:numPr>
          <w:ilvl w:val="1"/>
          <w:numId w:val="2"/>
        </w:numPr>
        <w:jc w:val="both"/>
      </w:pPr>
      <w:r>
        <w:t>Once the Local Fiscal has concluded their investigations they will contact Atrium with their findings. If a next of kin has been established, they should be encouraged to empty the property as per section 6 of this Policy. If no next of kin has been established the Local Fiscal will advise what should happen to the furniture and personal effects that have been left in the property.</w:t>
      </w:r>
    </w:p>
    <w:p w:rsidR="00F22F56" w:rsidRDefault="00F22F56" w:rsidP="00F22F56">
      <w:pPr>
        <w:pStyle w:val="ListParagraph"/>
      </w:pPr>
    </w:p>
    <w:p w:rsidR="00F22F56" w:rsidRDefault="00F22F56" w:rsidP="00F22F56">
      <w:pPr>
        <w:numPr>
          <w:ilvl w:val="1"/>
          <w:numId w:val="2"/>
        </w:numPr>
        <w:jc w:val="both"/>
      </w:pPr>
      <w:r>
        <w:t>The Estates Officer will compile a full inventory of furniture and personal effects as per section 9 of this policy.  These cannot be removed until authorised by the Local Fiscal, who in most cases will have already consulted with the QLTR.</w:t>
      </w:r>
    </w:p>
    <w:p w:rsidR="00026120" w:rsidRDefault="00026120">
      <w:pPr>
        <w:ind w:left="720"/>
        <w:jc w:val="both"/>
      </w:pPr>
    </w:p>
    <w:p w:rsidR="00026120" w:rsidRDefault="00F22F56">
      <w:pPr>
        <w:numPr>
          <w:ilvl w:val="0"/>
          <w:numId w:val="2"/>
        </w:numPr>
        <w:jc w:val="both"/>
        <w:rPr>
          <w:b/>
          <w:sz w:val="26"/>
        </w:rPr>
      </w:pPr>
      <w:r>
        <w:rPr>
          <w:b/>
          <w:sz w:val="26"/>
        </w:rPr>
        <w:t>Entering the Premises</w:t>
      </w:r>
    </w:p>
    <w:p w:rsidR="00333E08" w:rsidRDefault="00333E08" w:rsidP="00333E08">
      <w:pPr>
        <w:jc w:val="both"/>
        <w:rPr>
          <w:b/>
          <w:sz w:val="26"/>
        </w:rPr>
      </w:pPr>
    </w:p>
    <w:p w:rsidR="00026120" w:rsidRDefault="00F22F56">
      <w:pPr>
        <w:numPr>
          <w:ilvl w:val="1"/>
          <w:numId w:val="2"/>
        </w:numPr>
        <w:jc w:val="both"/>
      </w:pPr>
      <w:r>
        <w:rPr>
          <w:color w:val="000000"/>
        </w:rPr>
        <w:t>If the Police or Atrium receive information about a suspected death in a property, the Police will deal with this situation. They will force access if required and investigate the circumstances of the tenant’s death. They will contact any next of kin or relatives and pass the details and/or keys to the Estates Office</w:t>
      </w:r>
      <w:r w:rsidR="005B6209">
        <w:rPr>
          <w:color w:val="000000"/>
        </w:rPr>
        <w:t>r</w:t>
      </w:r>
      <w:r>
        <w:rPr>
          <w:color w:val="000000"/>
        </w:rPr>
        <w:t xml:space="preserve">. If there is no next of kin or relatives the Police will contact the Local Procurator Fiscal who will carry out their own investigations.  </w:t>
      </w:r>
    </w:p>
    <w:p w:rsidR="00026120" w:rsidRDefault="00026120" w:rsidP="00F22F56">
      <w:pPr>
        <w:jc w:val="both"/>
      </w:pPr>
    </w:p>
    <w:p w:rsidR="00026120" w:rsidRPr="00F22F56" w:rsidRDefault="00F22F56">
      <w:pPr>
        <w:numPr>
          <w:ilvl w:val="0"/>
          <w:numId w:val="2"/>
        </w:numPr>
        <w:jc w:val="both"/>
        <w:rPr>
          <w:b/>
          <w:sz w:val="26"/>
        </w:rPr>
      </w:pPr>
      <w:r>
        <w:rPr>
          <w:b/>
          <w:sz w:val="26"/>
        </w:rPr>
        <w:t>Searching the Premises a</w:t>
      </w:r>
      <w:r w:rsidRPr="00F22F56">
        <w:rPr>
          <w:b/>
          <w:sz w:val="26"/>
        </w:rPr>
        <w:t>nd Taking The Inventory</w:t>
      </w:r>
    </w:p>
    <w:p w:rsidR="00F22F56" w:rsidRDefault="00F22F56" w:rsidP="00F22F56">
      <w:pPr>
        <w:ind w:left="360"/>
        <w:jc w:val="both"/>
        <w:rPr>
          <w:b/>
        </w:rPr>
      </w:pPr>
    </w:p>
    <w:p w:rsidR="00026120" w:rsidRDefault="00F22F56">
      <w:pPr>
        <w:numPr>
          <w:ilvl w:val="1"/>
          <w:numId w:val="2"/>
        </w:numPr>
        <w:jc w:val="both"/>
      </w:pPr>
      <w:r>
        <w:t>When the Police and Local Fiscal have concluded their investigations,</w:t>
      </w:r>
      <w:r w:rsidR="001C6460">
        <w:t xml:space="preserve"> the Estates Officer </w:t>
      </w:r>
      <w:r>
        <w:t>who take</w:t>
      </w:r>
      <w:r w:rsidR="001C6460">
        <w:t>s</w:t>
      </w:r>
      <w:r>
        <w:t xml:space="preserve"> entry of the property will complete a full inventory </w:t>
      </w:r>
      <w:r>
        <w:lastRenderedPageBreak/>
        <w:t>(Appendix 2) of each room and where possible, take digital photographs of any goods found in the property.</w:t>
      </w:r>
      <w:r w:rsidR="001C6460">
        <w:t xml:space="preserve"> The officer should be accompanied by another member of staff.</w:t>
      </w:r>
    </w:p>
    <w:p w:rsidR="00026120" w:rsidRDefault="00026120">
      <w:pPr>
        <w:ind w:left="397"/>
        <w:jc w:val="both"/>
      </w:pPr>
    </w:p>
    <w:p w:rsidR="00026120" w:rsidRDefault="00F22F56" w:rsidP="001971A2">
      <w:pPr>
        <w:numPr>
          <w:ilvl w:val="1"/>
          <w:numId w:val="2"/>
        </w:numPr>
        <w:jc w:val="both"/>
      </w:pPr>
      <w:r>
        <w:t xml:space="preserve">Once the inventory has been completed and quantified it must be </w:t>
      </w:r>
      <w:r w:rsidR="001C6460">
        <w:t>signed by both members of staff</w:t>
      </w:r>
      <w:r>
        <w:t>, thereafter the Void Management procedure should commence.</w:t>
      </w:r>
    </w:p>
    <w:p w:rsidR="00026120" w:rsidRDefault="00026120">
      <w:pPr>
        <w:jc w:val="both"/>
      </w:pPr>
    </w:p>
    <w:p w:rsidR="00026120" w:rsidRDefault="001971A2">
      <w:pPr>
        <w:numPr>
          <w:ilvl w:val="0"/>
          <w:numId w:val="2"/>
        </w:numPr>
        <w:jc w:val="both"/>
        <w:rPr>
          <w:b/>
          <w:sz w:val="26"/>
        </w:rPr>
      </w:pPr>
      <w:r>
        <w:rPr>
          <w:b/>
          <w:sz w:val="26"/>
        </w:rPr>
        <w:t>Policy Reporting</w:t>
      </w:r>
    </w:p>
    <w:p w:rsidR="001971A2" w:rsidRDefault="001971A2" w:rsidP="001971A2">
      <w:pPr>
        <w:ind w:left="360"/>
        <w:jc w:val="both"/>
        <w:rPr>
          <w:b/>
          <w:sz w:val="26"/>
        </w:rPr>
      </w:pPr>
    </w:p>
    <w:p w:rsidR="00026120" w:rsidRDefault="001971A2">
      <w:pPr>
        <w:numPr>
          <w:ilvl w:val="1"/>
          <w:numId w:val="2"/>
        </w:numPr>
        <w:jc w:val="both"/>
      </w:pPr>
      <w:r>
        <w:t xml:space="preserve">The Estates Officer will register all deaths using the termination of tenancy form and </w:t>
      </w:r>
      <w:r w:rsidR="00931099">
        <w:t>update Atrium’s</w:t>
      </w:r>
      <w:r>
        <w:t xml:space="preserve"> </w:t>
      </w:r>
      <w:r w:rsidR="00931099">
        <w:t xml:space="preserve">housing management </w:t>
      </w:r>
      <w:r>
        <w:t xml:space="preserve">system. The </w:t>
      </w:r>
      <w:r w:rsidR="00931099">
        <w:t xml:space="preserve">Director </w:t>
      </w:r>
      <w:r>
        <w:t xml:space="preserve">of Operations will report these and all other </w:t>
      </w:r>
      <w:r w:rsidR="005B6209">
        <w:t xml:space="preserve">termination reasons </w:t>
      </w:r>
      <w:r>
        <w:t xml:space="preserve">quarterly to the </w:t>
      </w:r>
      <w:r w:rsidR="005B6209">
        <w:t>Operations</w:t>
      </w:r>
      <w:r>
        <w:t xml:space="preserve"> Sub Committee.</w:t>
      </w:r>
    </w:p>
    <w:p w:rsidR="00026120" w:rsidRDefault="00026120" w:rsidP="001971A2">
      <w:pPr>
        <w:jc w:val="both"/>
      </w:pPr>
    </w:p>
    <w:p w:rsidR="00026120" w:rsidRDefault="001971A2" w:rsidP="001971A2">
      <w:pPr>
        <w:numPr>
          <w:ilvl w:val="0"/>
          <w:numId w:val="2"/>
        </w:numPr>
        <w:jc w:val="both"/>
        <w:rPr>
          <w:b/>
          <w:sz w:val="26"/>
        </w:rPr>
      </w:pPr>
      <w:r>
        <w:rPr>
          <w:b/>
          <w:sz w:val="26"/>
        </w:rPr>
        <w:t>Complaints Procedure</w:t>
      </w:r>
    </w:p>
    <w:p w:rsidR="001971A2" w:rsidRPr="001971A2" w:rsidRDefault="001971A2" w:rsidP="001971A2">
      <w:pPr>
        <w:ind w:left="360"/>
        <w:jc w:val="both"/>
        <w:rPr>
          <w:b/>
          <w:sz w:val="26"/>
        </w:rPr>
      </w:pPr>
    </w:p>
    <w:p w:rsidR="00026120" w:rsidRDefault="00FF2837">
      <w:pPr>
        <w:numPr>
          <w:ilvl w:val="1"/>
          <w:numId w:val="2"/>
        </w:numPr>
        <w:jc w:val="both"/>
      </w:pPr>
      <w:r>
        <w:t>Any person</w:t>
      </w:r>
      <w:r w:rsidR="001971A2">
        <w:t xml:space="preserve"> who feels aggrieved by their treatment under this policy can ask for a copy of the Atrium’s Complaints Policy.</w:t>
      </w:r>
    </w:p>
    <w:p w:rsidR="00026120" w:rsidRDefault="00026120">
      <w:pPr>
        <w:jc w:val="both"/>
      </w:pPr>
    </w:p>
    <w:p w:rsidR="00026120" w:rsidRDefault="00026120" w:rsidP="00FF2837">
      <w:pPr>
        <w:ind w:left="397"/>
        <w:jc w:val="both"/>
      </w:pPr>
    </w:p>
    <w:p w:rsidR="00026120" w:rsidRDefault="00026120">
      <w:pPr>
        <w:jc w:val="both"/>
      </w:pPr>
    </w:p>
    <w:p w:rsidR="001971A2" w:rsidRDefault="001971A2">
      <w:r>
        <w:br w:type="page"/>
      </w:r>
    </w:p>
    <w:p w:rsidR="00026120" w:rsidRDefault="001971A2" w:rsidP="001971A2">
      <w:pPr>
        <w:jc w:val="right"/>
      </w:pPr>
      <w:r>
        <w:lastRenderedPageBreak/>
        <w:t>Appendix 1</w:t>
      </w:r>
    </w:p>
    <w:p w:rsidR="001971A2" w:rsidRDefault="001971A2" w:rsidP="001971A2">
      <w:pPr>
        <w:tabs>
          <w:tab w:val="left" w:pos="540"/>
        </w:tabs>
        <w:ind w:left="709" w:hanging="709"/>
        <w:jc w:val="center"/>
        <w:rPr>
          <w:b/>
          <w:sz w:val="28"/>
        </w:rPr>
      </w:pPr>
    </w:p>
    <w:p w:rsidR="001971A2" w:rsidRDefault="001971A2" w:rsidP="001971A2">
      <w:pPr>
        <w:tabs>
          <w:tab w:val="left" w:pos="540"/>
        </w:tabs>
        <w:jc w:val="center"/>
        <w:rPr>
          <w:b/>
          <w:sz w:val="28"/>
        </w:rPr>
      </w:pPr>
    </w:p>
    <w:p w:rsidR="001971A2" w:rsidRPr="004F7102" w:rsidRDefault="001971A2" w:rsidP="001971A2">
      <w:pPr>
        <w:tabs>
          <w:tab w:val="left" w:pos="540"/>
        </w:tabs>
        <w:ind w:left="709" w:hanging="709"/>
        <w:jc w:val="center"/>
      </w:pPr>
      <w:r>
        <w:rPr>
          <w:b/>
          <w:sz w:val="28"/>
        </w:rPr>
        <w:t>MANDATE TO DISPOSE OF BELONGINGS</w:t>
      </w:r>
    </w:p>
    <w:p w:rsidR="001971A2" w:rsidRDefault="001971A2" w:rsidP="001971A2">
      <w:pPr>
        <w:pStyle w:val="Heading1"/>
        <w:numPr>
          <w:ilvl w:val="0"/>
          <w:numId w:val="0"/>
        </w:numPr>
        <w:jc w:val="left"/>
      </w:pPr>
    </w:p>
    <w:p w:rsidR="001971A2" w:rsidRDefault="001971A2" w:rsidP="001971A2">
      <w:pPr>
        <w:rPr>
          <w:b/>
          <w:sz w:val="28"/>
        </w:rPr>
      </w:pPr>
      <w:r>
        <w:rPr>
          <w:b/>
          <w:sz w:val="28"/>
        </w:rPr>
        <w:t>TENANT(S) NAME:</w:t>
      </w:r>
    </w:p>
    <w:p w:rsidR="001971A2" w:rsidRDefault="001971A2" w:rsidP="001971A2">
      <w:pPr>
        <w:rPr>
          <w:b/>
          <w:sz w:val="28"/>
        </w:rPr>
      </w:pPr>
    </w:p>
    <w:p w:rsidR="001971A2" w:rsidRDefault="001971A2" w:rsidP="001971A2">
      <w:pPr>
        <w:rPr>
          <w:b/>
          <w:sz w:val="28"/>
        </w:rPr>
      </w:pPr>
    </w:p>
    <w:p w:rsidR="001971A2" w:rsidRDefault="001971A2" w:rsidP="001971A2">
      <w:pPr>
        <w:rPr>
          <w:b/>
          <w:sz w:val="28"/>
        </w:rPr>
      </w:pPr>
      <w:r>
        <w:rPr>
          <w:b/>
          <w:sz w:val="28"/>
        </w:rPr>
        <w:t>ADDRESS:</w:t>
      </w:r>
      <w:r>
        <w:rPr>
          <w:b/>
          <w:sz w:val="28"/>
        </w:rPr>
        <w:tab/>
      </w:r>
    </w:p>
    <w:p w:rsidR="001971A2" w:rsidRDefault="001971A2" w:rsidP="001971A2">
      <w:pPr>
        <w:rPr>
          <w:b/>
          <w:sz w:val="28"/>
        </w:rPr>
      </w:pPr>
    </w:p>
    <w:p w:rsidR="001971A2" w:rsidRDefault="001971A2" w:rsidP="001971A2">
      <w:pPr>
        <w:rPr>
          <w:b/>
          <w:sz w:val="28"/>
        </w:rPr>
      </w:pPr>
    </w:p>
    <w:p w:rsidR="001971A2" w:rsidRDefault="001971A2" w:rsidP="001971A2">
      <w:pPr>
        <w:rPr>
          <w:b/>
        </w:rPr>
      </w:pPr>
      <w:r>
        <w:rPr>
          <w:b/>
          <w:sz w:val="28"/>
        </w:rPr>
        <w:t>DATE OF DEATH:</w:t>
      </w:r>
    </w:p>
    <w:p w:rsidR="001971A2" w:rsidRDefault="001971A2" w:rsidP="001971A2">
      <w:pPr>
        <w:rPr>
          <w:b/>
        </w:rPr>
      </w:pPr>
    </w:p>
    <w:p w:rsidR="001971A2" w:rsidRDefault="001971A2" w:rsidP="001971A2">
      <w:pPr>
        <w:rPr>
          <w:b/>
        </w:rPr>
      </w:pPr>
    </w:p>
    <w:p w:rsidR="001971A2" w:rsidRDefault="001971A2" w:rsidP="001971A2">
      <w:pPr>
        <w:rPr>
          <w:b/>
        </w:rPr>
      </w:pPr>
    </w:p>
    <w:p w:rsidR="001971A2" w:rsidRDefault="001971A2" w:rsidP="001971A2">
      <w:pPr>
        <w:pStyle w:val="BodyText2"/>
      </w:pPr>
      <w:r>
        <w:t>I ………………………………… (Next of kin / Relative) hereby authorise Atrium Homes to dispose of all items of furniture and personal belongings found in the property at;</w:t>
      </w:r>
    </w:p>
    <w:p w:rsidR="001971A2" w:rsidRDefault="001971A2" w:rsidP="001971A2">
      <w:pPr>
        <w:pStyle w:val="BodyText2"/>
      </w:pPr>
      <w:r>
        <w:t xml:space="preserve"> …………………………………………………………………………………….</w:t>
      </w:r>
    </w:p>
    <w:p w:rsidR="001971A2" w:rsidRDefault="001971A2" w:rsidP="001971A2">
      <w:pPr>
        <w:pStyle w:val="BodyText2"/>
      </w:pPr>
    </w:p>
    <w:p w:rsidR="001971A2" w:rsidRDefault="001971A2" w:rsidP="001971A2">
      <w:pPr>
        <w:pStyle w:val="BodyText2"/>
      </w:pPr>
    </w:p>
    <w:p w:rsidR="001971A2" w:rsidRDefault="001971A2" w:rsidP="001971A2">
      <w:pPr>
        <w:pStyle w:val="BodyText2"/>
      </w:pPr>
    </w:p>
    <w:p w:rsidR="001971A2" w:rsidRDefault="00D447E0" w:rsidP="001971A2">
      <w:pPr>
        <w:pStyle w:val="BodyText2"/>
      </w:pPr>
      <w:r>
        <w:t>Signed:</w:t>
      </w:r>
      <w:r w:rsidR="001971A2">
        <w:t xml:space="preserve"> ……………………………………………..</w:t>
      </w:r>
    </w:p>
    <w:p w:rsidR="001971A2" w:rsidRDefault="001971A2" w:rsidP="001971A2">
      <w:pPr>
        <w:pStyle w:val="BodyText2"/>
      </w:pPr>
    </w:p>
    <w:p w:rsidR="001971A2" w:rsidRDefault="00D447E0" w:rsidP="001971A2">
      <w:pPr>
        <w:pStyle w:val="BodyText2"/>
      </w:pPr>
      <w:r>
        <w:t>Date:</w:t>
      </w:r>
      <w:r w:rsidR="001971A2">
        <w:t xml:space="preserve"> ……………………………………………….</w:t>
      </w:r>
    </w:p>
    <w:p w:rsidR="001971A2" w:rsidRDefault="001971A2" w:rsidP="001971A2">
      <w:pPr>
        <w:pStyle w:val="BodyText2"/>
      </w:pPr>
    </w:p>
    <w:p w:rsidR="001971A2" w:rsidRDefault="001971A2" w:rsidP="001971A2">
      <w:pPr>
        <w:pStyle w:val="BodyText2"/>
      </w:pPr>
    </w:p>
    <w:p w:rsidR="001971A2" w:rsidRDefault="001971A2" w:rsidP="001971A2">
      <w:pPr>
        <w:pStyle w:val="BodyText2"/>
      </w:pPr>
    </w:p>
    <w:p w:rsidR="001971A2" w:rsidRDefault="001971A2" w:rsidP="001971A2">
      <w:pPr>
        <w:pStyle w:val="BodyText2"/>
      </w:pPr>
    </w:p>
    <w:p w:rsidR="001971A2" w:rsidRDefault="00D447E0" w:rsidP="001971A2">
      <w:pPr>
        <w:pStyle w:val="BodyText2"/>
      </w:pPr>
      <w:r>
        <w:t>Witness:</w:t>
      </w:r>
      <w:r w:rsidR="001971A2">
        <w:t xml:space="preserve"> ……………………………………………..</w:t>
      </w:r>
    </w:p>
    <w:p w:rsidR="001971A2" w:rsidRDefault="001971A2" w:rsidP="001971A2">
      <w:pPr>
        <w:pStyle w:val="BodyText2"/>
      </w:pPr>
    </w:p>
    <w:p w:rsidR="001971A2" w:rsidRDefault="00D447E0" w:rsidP="001971A2">
      <w:pPr>
        <w:pStyle w:val="BodyText2"/>
      </w:pPr>
      <w:r>
        <w:t>Date:</w:t>
      </w:r>
      <w:r w:rsidR="001971A2">
        <w:t xml:space="preserve"> …………………………………………………</w:t>
      </w:r>
    </w:p>
    <w:p w:rsidR="00026120" w:rsidRDefault="00026120">
      <w:pPr>
        <w:rPr>
          <w:b/>
          <w:sz w:val="21"/>
        </w:rPr>
      </w:pPr>
    </w:p>
    <w:p w:rsidR="001971A2" w:rsidRDefault="001971A2">
      <w:pPr>
        <w:rPr>
          <w:b/>
          <w:sz w:val="21"/>
        </w:rPr>
      </w:pPr>
      <w:r>
        <w:rPr>
          <w:b/>
          <w:sz w:val="21"/>
        </w:rPr>
        <w:br w:type="page"/>
      </w:r>
    </w:p>
    <w:p w:rsidR="001971A2" w:rsidRDefault="001971A2" w:rsidP="001971A2">
      <w:pPr>
        <w:jc w:val="right"/>
      </w:pPr>
      <w:r>
        <w:lastRenderedPageBreak/>
        <w:t>Appendix 2</w:t>
      </w:r>
    </w:p>
    <w:p w:rsidR="001971A2" w:rsidRDefault="001971A2" w:rsidP="001971A2">
      <w:pPr>
        <w:pStyle w:val="Heading1"/>
        <w:numPr>
          <w:ilvl w:val="0"/>
          <w:numId w:val="0"/>
        </w:numPr>
        <w:rPr>
          <w:sz w:val="28"/>
        </w:rPr>
      </w:pPr>
    </w:p>
    <w:p w:rsidR="001971A2" w:rsidRPr="001971A2" w:rsidRDefault="001971A2" w:rsidP="001971A2"/>
    <w:p w:rsidR="001971A2" w:rsidRPr="001971A2" w:rsidRDefault="001971A2" w:rsidP="001971A2">
      <w:pPr>
        <w:pStyle w:val="Heading1"/>
        <w:numPr>
          <w:ilvl w:val="0"/>
          <w:numId w:val="0"/>
        </w:numPr>
        <w:rPr>
          <w:sz w:val="28"/>
        </w:rPr>
      </w:pPr>
      <w:r w:rsidRPr="001971A2">
        <w:rPr>
          <w:sz w:val="28"/>
        </w:rPr>
        <w:t>PROPERTY INVENTORY</w:t>
      </w:r>
    </w:p>
    <w:p w:rsidR="001971A2" w:rsidRDefault="001971A2" w:rsidP="001971A2">
      <w:pPr>
        <w:rPr>
          <w:b/>
        </w:rPr>
      </w:pPr>
    </w:p>
    <w:p w:rsidR="001971A2" w:rsidRDefault="001971A2" w:rsidP="001971A2">
      <w:pPr>
        <w:rPr>
          <w:b/>
        </w:rPr>
      </w:pPr>
      <w:r>
        <w:rPr>
          <w:b/>
        </w:rPr>
        <w:t>TENANT(S) NAME:</w:t>
      </w:r>
    </w:p>
    <w:p w:rsidR="001971A2" w:rsidRDefault="001971A2" w:rsidP="001971A2">
      <w:pPr>
        <w:rPr>
          <w:b/>
        </w:rPr>
      </w:pPr>
    </w:p>
    <w:p w:rsidR="001971A2" w:rsidRDefault="001971A2" w:rsidP="001971A2">
      <w:pPr>
        <w:rPr>
          <w:b/>
        </w:rPr>
      </w:pPr>
    </w:p>
    <w:p w:rsidR="001971A2" w:rsidRDefault="001971A2" w:rsidP="001971A2">
      <w:pPr>
        <w:rPr>
          <w:b/>
        </w:rPr>
      </w:pPr>
      <w:r>
        <w:rPr>
          <w:b/>
        </w:rPr>
        <w:t>ADDRESS:</w:t>
      </w:r>
    </w:p>
    <w:p w:rsidR="001971A2" w:rsidRDefault="001971A2" w:rsidP="001971A2">
      <w:pPr>
        <w:rPr>
          <w:b/>
        </w:rPr>
      </w:pPr>
      <w:r>
        <w:rPr>
          <w:b/>
        </w:rPr>
        <w:tab/>
      </w:r>
      <w:r>
        <w:rPr>
          <w:b/>
        </w:rPr>
        <w:tab/>
      </w:r>
      <w:r>
        <w:rPr>
          <w:b/>
        </w:rPr>
        <w:tab/>
      </w:r>
      <w:r>
        <w:rPr>
          <w:b/>
        </w:rPr>
        <w:tab/>
      </w:r>
    </w:p>
    <w:p w:rsidR="001971A2" w:rsidRDefault="001971A2" w:rsidP="001971A2">
      <w:pPr>
        <w:rPr>
          <w:b/>
        </w:rPr>
      </w:pPr>
    </w:p>
    <w:p w:rsidR="001971A2" w:rsidRDefault="001971A2" w:rsidP="001971A2">
      <w:pPr>
        <w:rPr>
          <w:b/>
        </w:rPr>
      </w:pPr>
      <w:r>
        <w:rPr>
          <w:b/>
        </w:rPr>
        <w:t>DATE OF DEATH:</w:t>
      </w:r>
    </w:p>
    <w:p w:rsidR="001971A2" w:rsidRDefault="001971A2" w:rsidP="001971A2">
      <w:pPr>
        <w:rPr>
          <w:b/>
        </w:rPr>
      </w:pPr>
    </w:p>
    <w:p w:rsidR="001971A2" w:rsidRDefault="001971A2" w:rsidP="001971A2">
      <w:pPr>
        <w:rPr>
          <w:b/>
        </w:rPr>
      </w:pPr>
    </w:p>
    <w:p w:rsidR="001971A2" w:rsidRDefault="001971A2" w:rsidP="001971A2">
      <w:pPr>
        <w:rPr>
          <w:b/>
        </w:rPr>
      </w:pPr>
      <w:r>
        <w:rPr>
          <w:b/>
        </w:rPr>
        <w:t>DATE ACCESS FORCED:</w:t>
      </w: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DETAILS OF FURNISHINGS/POSSESSIONS FOUND IN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528"/>
        <w:gridCol w:w="1985"/>
      </w:tblGrid>
      <w:tr w:rsidR="001971A2" w:rsidTr="003322DA">
        <w:tc>
          <w:tcPr>
            <w:tcW w:w="1526" w:type="dxa"/>
          </w:tcPr>
          <w:p w:rsidR="001971A2" w:rsidRDefault="001971A2" w:rsidP="003322DA">
            <w:pPr>
              <w:pStyle w:val="Heading3"/>
              <w:rPr>
                <w:sz w:val="20"/>
              </w:rPr>
            </w:pPr>
            <w:r>
              <w:rPr>
                <w:sz w:val="20"/>
              </w:rPr>
              <w:t>Room</w:t>
            </w:r>
          </w:p>
        </w:tc>
        <w:tc>
          <w:tcPr>
            <w:tcW w:w="5528" w:type="dxa"/>
          </w:tcPr>
          <w:p w:rsidR="001971A2" w:rsidRDefault="001971A2" w:rsidP="003322DA">
            <w:pPr>
              <w:pStyle w:val="Heading3"/>
              <w:rPr>
                <w:sz w:val="20"/>
              </w:rPr>
            </w:pPr>
            <w:r>
              <w:rPr>
                <w:sz w:val="20"/>
              </w:rPr>
              <w:t>Detail (Condition) (Value)</w:t>
            </w:r>
          </w:p>
        </w:tc>
        <w:tc>
          <w:tcPr>
            <w:tcW w:w="1985" w:type="dxa"/>
          </w:tcPr>
          <w:p w:rsidR="001971A2" w:rsidRDefault="001971A2" w:rsidP="003322DA">
            <w:pPr>
              <w:rPr>
                <w:b/>
                <w:i/>
                <w:sz w:val="20"/>
              </w:rPr>
            </w:pPr>
            <w:r>
              <w:rPr>
                <w:b/>
                <w:i/>
                <w:sz w:val="20"/>
              </w:rPr>
              <w:t>Approx. Value</w:t>
            </w:r>
          </w:p>
        </w:tc>
      </w:tr>
      <w:tr w:rsidR="001971A2" w:rsidTr="003322DA">
        <w:tc>
          <w:tcPr>
            <w:tcW w:w="1526" w:type="dxa"/>
          </w:tcPr>
          <w:p w:rsidR="001971A2" w:rsidRDefault="001971A2" w:rsidP="003322DA">
            <w:pPr>
              <w:rPr>
                <w:b/>
                <w:sz w:val="20"/>
              </w:rPr>
            </w:pPr>
            <w:r>
              <w:rPr>
                <w:b/>
                <w:sz w:val="20"/>
              </w:rPr>
              <w:t>Living Room</w:t>
            </w: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tc>
        <w:tc>
          <w:tcPr>
            <w:tcW w:w="5528" w:type="dxa"/>
          </w:tcPr>
          <w:p w:rsidR="001971A2" w:rsidRDefault="001971A2" w:rsidP="003322DA">
            <w:pPr>
              <w:rPr>
                <w:b/>
                <w:sz w:val="20"/>
              </w:rPr>
            </w:pPr>
          </w:p>
        </w:tc>
        <w:tc>
          <w:tcPr>
            <w:tcW w:w="1985" w:type="dxa"/>
          </w:tcPr>
          <w:p w:rsidR="001971A2" w:rsidRDefault="001971A2" w:rsidP="003322DA">
            <w:pPr>
              <w:rPr>
                <w:b/>
                <w:sz w:val="20"/>
              </w:rPr>
            </w:pPr>
          </w:p>
        </w:tc>
      </w:tr>
      <w:tr w:rsidR="001971A2" w:rsidTr="003322DA">
        <w:tc>
          <w:tcPr>
            <w:tcW w:w="1526" w:type="dxa"/>
          </w:tcPr>
          <w:p w:rsidR="001971A2" w:rsidRDefault="001971A2" w:rsidP="003322DA">
            <w:pPr>
              <w:rPr>
                <w:b/>
                <w:sz w:val="20"/>
              </w:rPr>
            </w:pPr>
            <w:r>
              <w:rPr>
                <w:b/>
                <w:sz w:val="20"/>
              </w:rPr>
              <w:t>Kitchen</w:t>
            </w: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tc>
        <w:tc>
          <w:tcPr>
            <w:tcW w:w="5528" w:type="dxa"/>
          </w:tcPr>
          <w:p w:rsidR="001971A2" w:rsidRDefault="001971A2" w:rsidP="003322DA">
            <w:pPr>
              <w:rPr>
                <w:b/>
                <w:sz w:val="20"/>
              </w:rPr>
            </w:pPr>
          </w:p>
        </w:tc>
        <w:tc>
          <w:tcPr>
            <w:tcW w:w="1985" w:type="dxa"/>
          </w:tcPr>
          <w:p w:rsidR="001971A2" w:rsidRDefault="001971A2" w:rsidP="003322DA">
            <w:pPr>
              <w:rPr>
                <w:b/>
                <w:sz w:val="20"/>
              </w:rPr>
            </w:pPr>
          </w:p>
        </w:tc>
      </w:tr>
      <w:tr w:rsidR="001971A2" w:rsidTr="003322DA">
        <w:tc>
          <w:tcPr>
            <w:tcW w:w="1526" w:type="dxa"/>
          </w:tcPr>
          <w:p w:rsidR="001971A2" w:rsidRDefault="001971A2" w:rsidP="003322DA">
            <w:pPr>
              <w:rPr>
                <w:b/>
                <w:sz w:val="20"/>
              </w:rPr>
            </w:pPr>
            <w:r>
              <w:rPr>
                <w:b/>
                <w:sz w:val="20"/>
              </w:rPr>
              <w:t>Hall</w:t>
            </w: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tc>
        <w:tc>
          <w:tcPr>
            <w:tcW w:w="5528" w:type="dxa"/>
          </w:tcPr>
          <w:p w:rsidR="001971A2" w:rsidRDefault="001971A2" w:rsidP="003322DA">
            <w:pPr>
              <w:rPr>
                <w:b/>
                <w:sz w:val="20"/>
              </w:rPr>
            </w:pPr>
          </w:p>
        </w:tc>
        <w:tc>
          <w:tcPr>
            <w:tcW w:w="1985" w:type="dxa"/>
          </w:tcPr>
          <w:p w:rsidR="001971A2" w:rsidRDefault="001971A2" w:rsidP="003322DA">
            <w:pPr>
              <w:rPr>
                <w:b/>
                <w:sz w:val="20"/>
              </w:rPr>
            </w:pPr>
          </w:p>
        </w:tc>
      </w:tr>
      <w:tr w:rsidR="001971A2" w:rsidTr="003322DA">
        <w:tc>
          <w:tcPr>
            <w:tcW w:w="1526" w:type="dxa"/>
          </w:tcPr>
          <w:p w:rsidR="001971A2" w:rsidRDefault="001971A2" w:rsidP="003322DA">
            <w:pPr>
              <w:rPr>
                <w:b/>
                <w:sz w:val="20"/>
              </w:rPr>
            </w:pPr>
            <w:r>
              <w:rPr>
                <w:b/>
                <w:sz w:val="20"/>
              </w:rPr>
              <w:t>Bathroom</w:t>
            </w: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p w:rsidR="001971A2" w:rsidRDefault="001971A2" w:rsidP="003322DA">
            <w:pPr>
              <w:rPr>
                <w:b/>
                <w:sz w:val="20"/>
              </w:rPr>
            </w:pPr>
          </w:p>
        </w:tc>
        <w:tc>
          <w:tcPr>
            <w:tcW w:w="5528" w:type="dxa"/>
          </w:tcPr>
          <w:p w:rsidR="001971A2" w:rsidRDefault="001971A2" w:rsidP="003322DA">
            <w:pPr>
              <w:rPr>
                <w:b/>
                <w:sz w:val="20"/>
              </w:rPr>
            </w:pPr>
          </w:p>
        </w:tc>
        <w:tc>
          <w:tcPr>
            <w:tcW w:w="1985" w:type="dxa"/>
          </w:tcPr>
          <w:p w:rsidR="001971A2" w:rsidRDefault="001971A2" w:rsidP="003322DA">
            <w:pPr>
              <w:rPr>
                <w:b/>
                <w:sz w:val="20"/>
              </w:rPr>
            </w:pPr>
          </w:p>
        </w:tc>
      </w:tr>
      <w:tr w:rsidR="001971A2" w:rsidTr="003322DA">
        <w:tc>
          <w:tcPr>
            <w:tcW w:w="1526" w:type="dxa"/>
          </w:tcPr>
          <w:p w:rsidR="001971A2" w:rsidRDefault="001971A2" w:rsidP="001971A2">
            <w:r>
              <w:t>Bedroom 1</w:t>
            </w:r>
          </w:p>
          <w:p w:rsidR="001971A2" w:rsidRDefault="001971A2" w:rsidP="003322DA"/>
          <w:p w:rsidR="001971A2" w:rsidRDefault="001971A2" w:rsidP="003322DA"/>
          <w:p w:rsidR="001971A2" w:rsidRPr="001971A2" w:rsidRDefault="001971A2" w:rsidP="003322DA">
            <w:pPr>
              <w:rPr>
                <w:b/>
                <w:sz w:val="20"/>
              </w:rPr>
            </w:pPr>
          </w:p>
          <w:p w:rsidR="001971A2" w:rsidRDefault="001971A2" w:rsidP="003322DA"/>
          <w:p w:rsidR="001971A2" w:rsidRDefault="001971A2" w:rsidP="003322DA"/>
          <w:p w:rsidR="001971A2" w:rsidRDefault="001971A2" w:rsidP="003322DA"/>
        </w:tc>
        <w:tc>
          <w:tcPr>
            <w:tcW w:w="5528" w:type="dxa"/>
          </w:tcPr>
          <w:p w:rsidR="001971A2" w:rsidRDefault="001971A2" w:rsidP="003322DA">
            <w:pPr>
              <w:rPr>
                <w:b/>
                <w:sz w:val="20"/>
              </w:rPr>
            </w:pPr>
          </w:p>
        </w:tc>
        <w:tc>
          <w:tcPr>
            <w:tcW w:w="1985" w:type="dxa"/>
          </w:tcPr>
          <w:p w:rsidR="001971A2" w:rsidRDefault="001971A2" w:rsidP="003322DA">
            <w:pPr>
              <w:rPr>
                <w:b/>
                <w:sz w:val="20"/>
              </w:rPr>
            </w:pPr>
          </w:p>
        </w:tc>
      </w:tr>
    </w:tbl>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br w:type="page"/>
      </w:r>
    </w:p>
    <w:p w:rsidR="001971A2" w:rsidRDefault="001971A2" w:rsidP="001971A2">
      <w:pPr>
        <w:rPr>
          <w:b/>
          <w:sz w:val="20"/>
        </w:rPr>
      </w:pPr>
      <w:r>
        <w:rPr>
          <w:b/>
          <w:sz w:val="20"/>
        </w:rPr>
        <w:lastRenderedPageBreak/>
        <w:t>APPROXIMATE VALUE OF GOODS:</w:t>
      </w: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OUTSTANDING RENT ARREARS:</w:t>
      </w: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 xml:space="preserve">APPROXIMATE VALUE FOR STORAGE: </w:t>
      </w:r>
      <w:r>
        <w:rPr>
          <w:b/>
          <w:sz w:val="20"/>
        </w:rPr>
        <w:tab/>
        <w:t>£880</w:t>
      </w: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RECOMMENDATION – STORE/DISPOSE (delete as required)</w:t>
      </w: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ESTATES OFFICER……………………………</w:t>
      </w:r>
      <w:r>
        <w:rPr>
          <w:b/>
          <w:sz w:val="20"/>
        </w:rPr>
        <w:tab/>
      </w:r>
      <w:r>
        <w:rPr>
          <w:b/>
          <w:sz w:val="20"/>
        </w:rPr>
        <w:tab/>
        <w:t>DATE………………..</w:t>
      </w: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 xml:space="preserve">ESTATES OFFICER……………………………                  DATE………………… </w:t>
      </w:r>
    </w:p>
    <w:p w:rsidR="001971A2" w:rsidRDefault="001971A2" w:rsidP="001971A2">
      <w:pPr>
        <w:rPr>
          <w:b/>
          <w:sz w:val="20"/>
        </w:rPr>
      </w:pPr>
    </w:p>
    <w:p w:rsidR="001971A2" w:rsidRDefault="001971A2" w:rsidP="001971A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1971A2" w:rsidTr="003322DA">
        <w:tc>
          <w:tcPr>
            <w:tcW w:w="9286" w:type="dxa"/>
          </w:tcPr>
          <w:p w:rsidR="001971A2" w:rsidRDefault="001971A2" w:rsidP="003322DA">
            <w:pPr>
              <w:rPr>
                <w:b/>
                <w:sz w:val="20"/>
              </w:rPr>
            </w:pPr>
            <w:r>
              <w:rPr>
                <w:b/>
                <w:sz w:val="20"/>
              </w:rPr>
              <w:t>RECOMMENDATION AGREED</w:t>
            </w:r>
          </w:p>
          <w:p w:rsidR="001971A2" w:rsidRDefault="001971A2" w:rsidP="003322DA">
            <w:pPr>
              <w:rPr>
                <w:b/>
                <w:sz w:val="20"/>
              </w:rPr>
            </w:pPr>
          </w:p>
          <w:p w:rsidR="001971A2" w:rsidRDefault="001971A2" w:rsidP="003322DA">
            <w:pPr>
              <w:rPr>
                <w:b/>
                <w:sz w:val="20"/>
              </w:rPr>
            </w:pPr>
          </w:p>
          <w:p w:rsidR="001971A2" w:rsidRDefault="001971A2" w:rsidP="003322DA">
            <w:pPr>
              <w:rPr>
                <w:b/>
                <w:sz w:val="20"/>
              </w:rPr>
            </w:pPr>
            <w:r>
              <w:rPr>
                <w:b/>
                <w:sz w:val="20"/>
              </w:rPr>
              <w:t>HEAD OF OPERATIONS/SENIOR ESTATES OFFICER              DATE</w:t>
            </w:r>
          </w:p>
        </w:tc>
      </w:tr>
    </w:tbl>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p>
    <w:p w:rsidR="001971A2" w:rsidRDefault="001971A2" w:rsidP="001971A2">
      <w:pPr>
        <w:rPr>
          <w:b/>
          <w:sz w:val="20"/>
        </w:rPr>
      </w:pPr>
      <w:r>
        <w:rPr>
          <w:b/>
          <w:sz w:val="20"/>
        </w:rPr>
        <w:t>DATE GOODS DISPOSED OF/RETURNED:</w:t>
      </w:r>
    </w:p>
    <w:p w:rsidR="00026120" w:rsidRDefault="00026120">
      <w:pPr>
        <w:rPr>
          <w:b/>
          <w:sz w:val="14"/>
        </w:rPr>
      </w:pPr>
    </w:p>
    <w:sectPr w:rsidR="00026120" w:rsidSect="00366CE6">
      <w:headerReference w:type="even" r:id="rId8"/>
      <w:headerReference w:type="default" r:id="rId9"/>
      <w:footerReference w:type="even" r:id="rId10"/>
      <w:footerReference w:type="default" r:id="rId11"/>
      <w:headerReference w:type="first" r:id="rId12"/>
      <w:footerReference w:type="first" r:id="rId13"/>
      <w:pgSz w:w="11909" w:h="16834" w:code="9"/>
      <w:pgMar w:top="1138" w:right="1440" w:bottom="1282" w:left="1440" w:header="432"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60" w:rsidRDefault="001C6460">
      <w:r>
        <w:separator/>
      </w:r>
    </w:p>
  </w:endnote>
  <w:endnote w:type="continuationSeparator" w:id="0">
    <w:p w:rsidR="001C6460" w:rsidRDefault="001C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0" w:rsidRDefault="001A237E">
    <w:pPr>
      <w:pStyle w:val="Footer"/>
      <w:framePr w:wrap="around" w:vAnchor="text" w:hAnchor="margin" w:xAlign="right" w:y="1"/>
      <w:rPr>
        <w:rStyle w:val="PageNumber"/>
      </w:rPr>
    </w:pPr>
    <w:r>
      <w:rPr>
        <w:rStyle w:val="PageNumber"/>
      </w:rPr>
      <w:fldChar w:fldCharType="begin"/>
    </w:r>
    <w:r w:rsidR="001C6460">
      <w:rPr>
        <w:rStyle w:val="PageNumber"/>
      </w:rPr>
      <w:instrText xml:space="preserve">PAGE  </w:instrText>
    </w:r>
    <w:r>
      <w:rPr>
        <w:rStyle w:val="PageNumber"/>
      </w:rPr>
      <w:fldChar w:fldCharType="end"/>
    </w:r>
  </w:p>
  <w:p w:rsidR="001C6460" w:rsidRDefault="001C6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0" w:rsidRDefault="00F812AA" w:rsidP="003322DA">
    <w:pPr>
      <w:pStyle w:val="Footer"/>
      <w:tabs>
        <w:tab w:val="clear" w:pos="8640"/>
        <w:tab w:val="right" w:pos="9000"/>
      </w:tabs>
      <w:spacing w:line="360" w:lineRule="auto"/>
      <w:rPr>
        <w:i/>
        <w:sz w:val="20"/>
      </w:rPr>
    </w:pPr>
    <w:r>
      <w:rPr>
        <w:i/>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-457200</wp:posOffset>
              </wp:positionH>
              <wp:positionV relativeFrom="paragraph">
                <wp:posOffset>-119380</wp:posOffset>
              </wp:positionV>
              <wp:extent cx="6675120" cy="0"/>
              <wp:effectExtent l="38100" t="42545" r="40005" b="4318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B9AA"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rTGQIAADU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" o:allowincell="f" strokeweight="5.5pt">
              <v:stroke linestyle="thickBetweenThin"/>
              <w10:wrap type="topAndBottom"/>
            </v:line>
          </w:pict>
        </mc:Fallback>
      </mc:AlternateContent>
    </w:r>
    <w:r w:rsidR="001C6460">
      <w:rPr>
        <w:i/>
        <w:sz w:val="20"/>
      </w:rPr>
      <w:t>Atrium Homes</w:t>
    </w:r>
    <w:r w:rsidR="001C6460">
      <w:rPr>
        <w:i/>
        <w:sz w:val="20"/>
      </w:rPr>
      <w:tab/>
    </w:r>
    <w:r w:rsidR="001C6460">
      <w:rPr>
        <w:i/>
        <w:sz w:val="20"/>
      </w:rPr>
      <w:tab/>
      <w:t>Death of a Tenant Policy</w:t>
    </w:r>
  </w:p>
  <w:p w:rsidR="001C6460" w:rsidRPr="003322DA" w:rsidRDefault="001C6460" w:rsidP="003322DA">
    <w:pPr>
      <w:pStyle w:val="Footer"/>
      <w:tabs>
        <w:tab w:val="clear" w:pos="8640"/>
        <w:tab w:val="right" w:pos="9000"/>
      </w:tabs>
      <w:rPr>
        <w:i/>
        <w:sz w:val="20"/>
      </w:rPr>
    </w:pPr>
    <w:r>
      <w:rPr>
        <w:i/>
        <w:sz w:val="20"/>
      </w:rPr>
      <w:t>H:/Policies (appro</w:t>
    </w:r>
    <w:r w:rsidR="001506AC">
      <w:rPr>
        <w:i/>
        <w:sz w:val="20"/>
      </w:rPr>
      <w:t>ved)</w:t>
    </w:r>
    <w:r w:rsidR="001506AC">
      <w:rPr>
        <w:i/>
        <w:sz w:val="20"/>
      </w:rPr>
      <w:tab/>
    </w:r>
    <w:r w:rsidR="001506AC">
      <w:rPr>
        <w:i/>
        <w:sz w:val="20"/>
      </w:rPr>
      <w:tab/>
      <w:t>Approved by Board 30/08/11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0" w:rsidRDefault="00F812AA">
    <w:pPr>
      <w:pStyle w:val="Footer"/>
      <w:tabs>
        <w:tab w:val="clear" w:pos="8640"/>
        <w:tab w:val="right" w:pos="9000"/>
      </w:tabs>
      <w:spacing w:line="360" w:lineRule="auto"/>
      <w:rPr>
        <w:i/>
        <w:sz w:val="20"/>
      </w:rPr>
    </w:pPr>
    <w:r>
      <w:rPr>
        <w:i/>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-457200</wp:posOffset>
              </wp:positionH>
              <wp:positionV relativeFrom="paragraph">
                <wp:posOffset>-119380</wp:posOffset>
              </wp:positionV>
              <wp:extent cx="6675120" cy="0"/>
              <wp:effectExtent l="38100" t="42545" r="40005" b="4318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7F6A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" o:allowincell="f" strokeweight="5.5pt">
              <v:stroke linestyle="thickBetweenThin"/>
              <w10:wrap type="topAndBottom"/>
            </v:line>
          </w:pict>
        </mc:Fallback>
      </mc:AlternateContent>
    </w:r>
    <w:r w:rsidR="001C6460">
      <w:rPr>
        <w:i/>
        <w:sz w:val="20"/>
      </w:rPr>
      <w:t>Atrium Homes</w:t>
    </w:r>
    <w:r w:rsidR="001C6460">
      <w:rPr>
        <w:i/>
        <w:sz w:val="20"/>
      </w:rPr>
      <w:tab/>
    </w:r>
    <w:r w:rsidR="001C6460">
      <w:rPr>
        <w:i/>
        <w:sz w:val="20"/>
      </w:rPr>
      <w:tab/>
    </w:r>
    <w:r w:rsidR="001506AC">
      <w:rPr>
        <w:i/>
        <w:sz w:val="20"/>
      </w:rPr>
      <w:t xml:space="preserve">Deceased </w:t>
    </w:r>
    <w:r w:rsidR="001C6460">
      <w:rPr>
        <w:i/>
        <w:sz w:val="20"/>
      </w:rPr>
      <w:t>Tenant Policy</w:t>
    </w:r>
  </w:p>
  <w:p w:rsidR="001C6460" w:rsidRDefault="001C6460">
    <w:pPr>
      <w:pStyle w:val="Footer"/>
      <w:tabs>
        <w:tab w:val="clear" w:pos="8640"/>
        <w:tab w:val="right" w:pos="9000"/>
      </w:tabs>
      <w:rPr>
        <w:i/>
        <w:sz w:val="20"/>
      </w:rPr>
    </w:pPr>
    <w:r>
      <w:rPr>
        <w:i/>
        <w:sz w:val="20"/>
      </w:rPr>
      <w:t>H:/Policies (appro</w:t>
    </w:r>
    <w:r w:rsidR="001506AC">
      <w:rPr>
        <w:i/>
        <w:sz w:val="20"/>
      </w:rPr>
      <w:t>ved)</w:t>
    </w:r>
    <w:r w:rsidR="001506AC">
      <w:rPr>
        <w:i/>
        <w:sz w:val="20"/>
      </w:rPr>
      <w:tab/>
    </w:r>
    <w:r w:rsidR="001506AC">
      <w:rPr>
        <w:i/>
        <w:sz w:val="20"/>
      </w:rPr>
      <w:tab/>
      <w:t>Approved by Board 30/08/11</w:t>
    </w:r>
  </w:p>
  <w:p w:rsidR="00804B4B" w:rsidRDefault="00AC6492" w:rsidP="00155072">
    <w:pPr>
      <w:pStyle w:val="Footer"/>
      <w:tabs>
        <w:tab w:val="clear" w:pos="8640"/>
        <w:tab w:val="right" w:pos="9000"/>
      </w:tabs>
      <w:jc w:val="right"/>
      <w:rPr>
        <w:i/>
        <w:sz w:val="20"/>
      </w:rPr>
    </w:pPr>
    <w:r>
      <w:rPr>
        <w:i/>
        <w:sz w:val="20"/>
      </w:rPr>
      <w:t>Approved by Board 27/11</w:t>
    </w:r>
    <w:r w:rsidR="00804B4B">
      <w:rPr>
        <w:i/>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60" w:rsidRDefault="001C6460">
      <w:r>
        <w:separator/>
      </w:r>
    </w:p>
  </w:footnote>
  <w:footnote w:type="continuationSeparator" w:id="0">
    <w:p w:rsidR="001C6460" w:rsidRDefault="001C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0" w:rsidRDefault="001A237E">
    <w:pPr>
      <w:pStyle w:val="Header"/>
      <w:framePr w:wrap="around" w:vAnchor="text" w:hAnchor="margin" w:xAlign="right" w:y="1"/>
      <w:rPr>
        <w:rStyle w:val="PageNumber"/>
      </w:rPr>
    </w:pPr>
    <w:r>
      <w:rPr>
        <w:rStyle w:val="PageNumber"/>
      </w:rPr>
      <w:fldChar w:fldCharType="begin"/>
    </w:r>
    <w:r w:rsidR="001C6460">
      <w:rPr>
        <w:rStyle w:val="PageNumber"/>
      </w:rPr>
      <w:instrText xml:space="preserve">PAGE  </w:instrText>
    </w:r>
    <w:r>
      <w:rPr>
        <w:rStyle w:val="PageNumber"/>
      </w:rPr>
      <w:fldChar w:fldCharType="end"/>
    </w:r>
  </w:p>
  <w:p w:rsidR="001C6460" w:rsidRDefault="001C6460">
    <w:pPr>
      <w:pStyle w:val="Header"/>
      <w:ind w:right="360"/>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0" w:rsidRDefault="001C6460">
    <w:pPr>
      <w:pStyle w:val="Header"/>
      <w:framePr w:wrap="around" w:vAnchor="text" w:hAnchor="page" w:x="5761" w:y="4"/>
      <w:jc w:val="center"/>
      <w:rPr>
        <w:rStyle w:val="PageNumber"/>
        <w:b/>
      </w:rPr>
    </w:pPr>
    <w:r>
      <w:rPr>
        <w:rStyle w:val="PageNumber"/>
        <w:b/>
      </w:rPr>
      <w:t xml:space="preserve">- </w:t>
    </w:r>
    <w:r w:rsidR="001A237E">
      <w:rPr>
        <w:rStyle w:val="PageNumber"/>
        <w:b/>
      </w:rPr>
      <w:fldChar w:fldCharType="begin"/>
    </w:r>
    <w:r>
      <w:rPr>
        <w:rStyle w:val="PageNumber"/>
        <w:b/>
      </w:rPr>
      <w:instrText xml:space="preserve">PAGE  </w:instrText>
    </w:r>
    <w:r w:rsidR="001A237E">
      <w:rPr>
        <w:rStyle w:val="PageNumber"/>
        <w:b/>
      </w:rPr>
      <w:fldChar w:fldCharType="separate"/>
    </w:r>
    <w:r w:rsidR="00DC7E7E">
      <w:rPr>
        <w:rStyle w:val="PageNumber"/>
        <w:b/>
        <w:noProof/>
      </w:rPr>
      <w:t>5</w:t>
    </w:r>
    <w:r w:rsidR="001A237E">
      <w:rPr>
        <w:rStyle w:val="PageNumber"/>
        <w:b/>
      </w:rPr>
      <w:fldChar w:fldCharType="end"/>
    </w:r>
    <w:r>
      <w:rPr>
        <w:rStyle w:val="PageNumber"/>
        <w:b/>
      </w:rPr>
      <w:t xml:space="preserve"> -</w:t>
    </w:r>
  </w:p>
  <w:p w:rsidR="001C6460" w:rsidRDefault="00F812AA">
    <w:pPr>
      <w:pStyle w:val="Header"/>
      <w:ind w:right="360"/>
      <w:rPr>
        <w:b/>
      </w:rPr>
    </w:pPr>
    <w:r>
      <w:rPr>
        <w:i/>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299720</wp:posOffset>
              </wp:positionV>
              <wp:extent cx="6675120" cy="0"/>
              <wp:effectExtent l="41910" t="42545" r="36195" b="4318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34B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3.6pt" to="502.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9kGAIAADQ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" strokeweight="5.5pt">
              <v:stroke linestyle="thickBetweenThin"/>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60" w:rsidRDefault="00F812AA">
    <w:pPr>
      <w:pStyle w:val="Header"/>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-457200</wp:posOffset>
              </wp:positionH>
              <wp:positionV relativeFrom="paragraph">
                <wp:posOffset>190500</wp:posOffset>
              </wp:positionV>
              <wp:extent cx="6675120" cy="0"/>
              <wp:effectExtent l="38100" t="38100" r="40005" b="381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985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9E45D"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D/GQ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" o:allowincell="f" strokeweight="5.5pt">
              <v:stroke linestyle="thickBetween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E4E"/>
    <w:multiLevelType w:val="multilevel"/>
    <w:tmpl w:val="B4AA4F74"/>
    <w:lvl w:ilvl="0">
      <w:start w:val="1"/>
      <w:numFmt w:val="decimal"/>
      <w:lvlText w:val="%1."/>
      <w:lvlJc w:val="left"/>
      <w:pPr>
        <w:tabs>
          <w:tab w:val="num" w:pos="360"/>
        </w:tabs>
        <w:ind w:left="360" w:hanging="360"/>
      </w:pPr>
    </w:lvl>
    <w:lvl w:ilvl="1">
      <w:start w:val="1"/>
      <w:numFmt w:val="decimal"/>
      <w:lvlText w:val="%1.%2"/>
      <w:lvlJc w:val="left"/>
      <w:pPr>
        <w:tabs>
          <w:tab w:val="num" w:pos="1474"/>
        </w:tabs>
        <w:ind w:left="1474" w:hanging="1077"/>
      </w:pPr>
    </w:lvl>
    <w:lvl w:ilvl="2">
      <w:start w:val="1"/>
      <w:numFmt w:val="lowerLetter"/>
      <w:lvlText w:val="%3."/>
      <w:lvlJc w:val="left"/>
      <w:pPr>
        <w:tabs>
          <w:tab w:val="num" w:pos="1224"/>
        </w:tabs>
        <w:ind w:left="1224" w:hanging="504"/>
      </w:pPr>
    </w:lvl>
    <w:lvl w:ilvl="3">
      <w:start w:val="1"/>
      <w:numFmt w:val="bullet"/>
      <w:lvlText w:val=""/>
      <w:lvlJc w:val="left"/>
      <w:pPr>
        <w:tabs>
          <w:tab w:val="num" w:pos="1531"/>
        </w:tabs>
        <w:ind w:left="1531" w:hanging="567"/>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76959BD"/>
    <w:multiLevelType w:val="hybridMultilevel"/>
    <w:tmpl w:val="F1E22B16"/>
    <w:lvl w:ilvl="0" w:tplc="BEE262D4">
      <w:start w:val="1"/>
      <w:numFmt w:val="bullet"/>
      <w:lvlText w:val=""/>
      <w:lvlJc w:val="left"/>
      <w:pPr>
        <w:tabs>
          <w:tab w:val="num" w:pos="1800"/>
        </w:tabs>
        <w:ind w:left="1780" w:hanging="34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3DB6047"/>
    <w:multiLevelType w:val="multilevel"/>
    <w:tmpl w:val="625E2D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37"/>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531"/>
        </w:tabs>
        <w:ind w:left="1531" w:hanging="56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5AA56CE"/>
    <w:multiLevelType w:val="hybridMultilevel"/>
    <w:tmpl w:val="3A74E578"/>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B3CB2"/>
    <w:multiLevelType w:val="hybridMultilevel"/>
    <w:tmpl w:val="96248D02"/>
    <w:lvl w:ilvl="0" w:tplc="E6A840BE">
      <w:start w:val="1"/>
      <w:numFmt w:val="bullet"/>
      <w:lvlText w:val=""/>
      <w:lvlJc w:val="left"/>
      <w:pPr>
        <w:tabs>
          <w:tab w:val="num" w:pos="1800"/>
        </w:tabs>
        <w:ind w:left="1780" w:hanging="34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09D6BE0"/>
    <w:multiLevelType w:val="hybridMultilevel"/>
    <w:tmpl w:val="779290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60F5875"/>
    <w:multiLevelType w:val="multilevel"/>
    <w:tmpl w:val="A742FE2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57"/>
        </w:tabs>
        <w:ind w:left="757" w:hanging="360"/>
      </w:pPr>
      <w:rPr>
        <w:rFonts w:ascii="Symbol" w:hAnsi="Symbol"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531"/>
        </w:tabs>
        <w:ind w:left="1531" w:hanging="56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91D5B86"/>
    <w:multiLevelType w:val="multilevel"/>
    <w:tmpl w:val="6C14B4E2"/>
    <w:lvl w:ilvl="0">
      <w:start w:val="1"/>
      <w:numFmt w:val="none"/>
      <w:pStyle w:val="Heading1"/>
      <w:lvlText w:val="1"/>
      <w:lvlJc w:val="left"/>
      <w:pPr>
        <w:tabs>
          <w:tab w:val="num" w:pos="360"/>
        </w:tabs>
        <w:ind w:left="0" w:firstLine="0"/>
      </w:pPr>
      <w:rPr>
        <w:rFonts w:hint="default"/>
      </w:rPr>
    </w:lvl>
    <w:lvl w:ilvl="1">
      <w:start w:val="1"/>
      <w:numFmt w:val="none"/>
      <w:pStyle w:val="Heading2"/>
      <w:isLgl/>
      <w:lvlText w:val="1.1"/>
      <w:lvlJc w:val="left"/>
      <w:pPr>
        <w:tabs>
          <w:tab w:val="num" w:pos="36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8" w15:restartNumberingAfterBreak="0">
    <w:nsid w:val="73B83BB0"/>
    <w:multiLevelType w:val="hybridMultilevel"/>
    <w:tmpl w:val="FC9A51AA"/>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7FCC068F"/>
    <w:multiLevelType w:val="hybridMultilevel"/>
    <w:tmpl w:val="0A24895E"/>
    <w:lvl w:ilvl="0" w:tplc="FFFFFFFF">
      <w:numFmt w:val="bullet"/>
      <w:lvlText w:val=""/>
      <w:lvlJc w:val="left"/>
      <w:pPr>
        <w:tabs>
          <w:tab w:val="num" w:pos="705"/>
        </w:tabs>
        <w:ind w:left="705" w:hanging="360"/>
      </w:pPr>
      <w:rPr>
        <w:rFonts w:ascii="Symbol" w:eastAsia="Times New Roman" w:hAnsi="Symbol" w:cs="Times New Roman" w:hint="default"/>
      </w:rPr>
    </w:lvl>
    <w:lvl w:ilvl="1" w:tplc="FFFFFFFF" w:tentative="1">
      <w:start w:val="1"/>
      <w:numFmt w:val="bullet"/>
      <w:lvlText w:val="o"/>
      <w:lvlJc w:val="left"/>
      <w:pPr>
        <w:tabs>
          <w:tab w:val="num" w:pos="1425"/>
        </w:tabs>
        <w:ind w:left="1425" w:hanging="360"/>
      </w:pPr>
      <w:rPr>
        <w:rFonts w:ascii="Courier New" w:hAnsi="Courier New" w:hint="default"/>
      </w:rPr>
    </w:lvl>
    <w:lvl w:ilvl="2" w:tplc="FFFFFFFF" w:tentative="1">
      <w:start w:val="1"/>
      <w:numFmt w:val="bullet"/>
      <w:lvlText w:val=""/>
      <w:lvlJc w:val="left"/>
      <w:pPr>
        <w:tabs>
          <w:tab w:val="num" w:pos="2145"/>
        </w:tabs>
        <w:ind w:left="2145" w:hanging="360"/>
      </w:pPr>
      <w:rPr>
        <w:rFonts w:ascii="Wingdings" w:hAnsi="Wingdings" w:hint="default"/>
      </w:rPr>
    </w:lvl>
    <w:lvl w:ilvl="3" w:tplc="FFFFFFFF" w:tentative="1">
      <w:start w:val="1"/>
      <w:numFmt w:val="bullet"/>
      <w:lvlText w:val=""/>
      <w:lvlJc w:val="left"/>
      <w:pPr>
        <w:tabs>
          <w:tab w:val="num" w:pos="2865"/>
        </w:tabs>
        <w:ind w:left="2865" w:hanging="360"/>
      </w:pPr>
      <w:rPr>
        <w:rFonts w:ascii="Symbol" w:hAnsi="Symbol" w:hint="default"/>
      </w:rPr>
    </w:lvl>
    <w:lvl w:ilvl="4" w:tplc="FFFFFFFF" w:tentative="1">
      <w:start w:val="1"/>
      <w:numFmt w:val="bullet"/>
      <w:lvlText w:val="o"/>
      <w:lvlJc w:val="left"/>
      <w:pPr>
        <w:tabs>
          <w:tab w:val="num" w:pos="3585"/>
        </w:tabs>
        <w:ind w:left="3585" w:hanging="360"/>
      </w:pPr>
      <w:rPr>
        <w:rFonts w:ascii="Courier New" w:hAnsi="Courier New" w:hint="default"/>
      </w:rPr>
    </w:lvl>
    <w:lvl w:ilvl="5" w:tplc="FFFFFFFF" w:tentative="1">
      <w:start w:val="1"/>
      <w:numFmt w:val="bullet"/>
      <w:lvlText w:val=""/>
      <w:lvlJc w:val="left"/>
      <w:pPr>
        <w:tabs>
          <w:tab w:val="num" w:pos="4305"/>
        </w:tabs>
        <w:ind w:left="4305" w:hanging="360"/>
      </w:pPr>
      <w:rPr>
        <w:rFonts w:ascii="Wingdings" w:hAnsi="Wingdings" w:hint="default"/>
      </w:rPr>
    </w:lvl>
    <w:lvl w:ilvl="6" w:tplc="FFFFFFFF" w:tentative="1">
      <w:start w:val="1"/>
      <w:numFmt w:val="bullet"/>
      <w:lvlText w:val=""/>
      <w:lvlJc w:val="left"/>
      <w:pPr>
        <w:tabs>
          <w:tab w:val="num" w:pos="5025"/>
        </w:tabs>
        <w:ind w:left="5025" w:hanging="360"/>
      </w:pPr>
      <w:rPr>
        <w:rFonts w:ascii="Symbol" w:hAnsi="Symbol" w:hint="default"/>
      </w:rPr>
    </w:lvl>
    <w:lvl w:ilvl="7" w:tplc="FFFFFFFF" w:tentative="1">
      <w:start w:val="1"/>
      <w:numFmt w:val="bullet"/>
      <w:lvlText w:val="o"/>
      <w:lvlJc w:val="left"/>
      <w:pPr>
        <w:tabs>
          <w:tab w:val="num" w:pos="5745"/>
        </w:tabs>
        <w:ind w:left="5745" w:hanging="360"/>
      </w:pPr>
      <w:rPr>
        <w:rFonts w:ascii="Courier New" w:hAnsi="Courier New" w:hint="default"/>
      </w:rPr>
    </w:lvl>
    <w:lvl w:ilvl="8" w:tplc="FFFFFFFF" w:tentative="1">
      <w:start w:val="1"/>
      <w:numFmt w:val="bullet"/>
      <w:lvlText w:val=""/>
      <w:lvlJc w:val="left"/>
      <w:pPr>
        <w:tabs>
          <w:tab w:val="num" w:pos="6465"/>
        </w:tabs>
        <w:ind w:left="6465"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9"/>
  </w:num>
  <w:num w:numId="6">
    <w:abstractNumId w:val="3"/>
  </w:num>
  <w:num w:numId="7">
    <w:abstractNumId w:val="6"/>
  </w:num>
  <w:num w:numId="8">
    <w:abstractNumId w:val="5"/>
  </w:num>
  <w:num w:numId="9">
    <w:abstractNumId w:val="8"/>
  </w:num>
  <w:num w:numId="1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DC"/>
    <w:rsid w:val="00026120"/>
    <w:rsid w:val="000E3022"/>
    <w:rsid w:val="001506AC"/>
    <w:rsid w:val="00155072"/>
    <w:rsid w:val="00170943"/>
    <w:rsid w:val="001971A2"/>
    <w:rsid w:val="001A237E"/>
    <w:rsid w:val="001C6460"/>
    <w:rsid w:val="00203165"/>
    <w:rsid w:val="002D16FA"/>
    <w:rsid w:val="002E061F"/>
    <w:rsid w:val="003322DA"/>
    <w:rsid w:val="00333E08"/>
    <w:rsid w:val="00366CE6"/>
    <w:rsid w:val="003A7FBD"/>
    <w:rsid w:val="00556F20"/>
    <w:rsid w:val="005B6209"/>
    <w:rsid w:val="005C474E"/>
    <w:rsid w:val="0060758A"/>
    <w:rsid w:val="0064785D"/>
    <w:rsid w:val="0069626E"/>
    <w:rsid w:val="006B3C8F"/>
    <w:rsid w:val="006C531E"/>
    <w:rsid w:val="006C68D4"/>
    <w:rsid w:val="007957EC"/>
    <w:rsid w:val="007D2BFF"/>
    <w:rsid w:val="007F1682"/>
    <w:rsid w:val="007F509D"/>
    <w:rsid w:val="00804B4B"/>
    <w:rsid w:val="008D7782"/>
    <w:rsid w:val="00931099"/>
    <w:rsid w:val="0094555B"/>
    <w:rsid w:val="00950261"/>
    <w:rsid w:val="009C4BFF"/>
    <w:rsid w:val="00A91276"/>
    <w:rsid w:val="00AC6492"/>
    <w:rsid w:val="00B3388C"/>
    <w:rsid w:val="00BB5B51"/>
    <w:rsid w:val="00BE551C"/>
    <w:rsid w:val="00C02EDC"/>
    <w:rsid w:val="00C06C34"/>
    <w:rsid w:val="00D10BDF"/>
    <w:rsid w:val="00D447E0"/>
    <w:rsid w:val="00D64D30"/>
    <w:rsid w:val="00D65A79"/>
    <w:rsid w:val="00DB60DD"/>
    <w:rsid w:val="00DC7E7E"/>
    <w:rsid w:val="00DD7E20"/>
    <w:rsid w:val="00EA7E5D"/>
    <w:rsid w:val="00F22F56"/>
    <w:rsid w:val="00F812AA"/>
    <w:rsid w:val="00FB0819"/>
    <w:rsid w:val="00FC0E90"/>
    <w:rsid w:val="00FF0BE4"/>
    <w:rsid w:val="00FF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A0090CA-4FE6-4F5A-B802-2FA2C979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E6"/>
    <w:rPr>
      <w:rFonts w:ascii="Arial" w:hAnsi="Arial"/>
      <w:sz w:val="24"/>
      <w:lang w:eastAsia="en-US"/>
    </w:rPr>
  </w:style>
  <w:style w:type="paragraph" w:styleId="Heading1">
    <w:name w:val="heading 1"/>
    <w:basedOn w:val="Normal"/>
    <w:next w:val="Normal"/>
    <w:qFormat/>
    <w:rsid w:val="00366CE6"/>
    <w:pPr>
      <w:keepNext/>
      <w:numPr>
        <w:numId w:val="1"/>
      </w:numPr>
      <w:jc w:val="center"/>
      <w:outlineLvl w:val="0"/>
    </w:pPr>
    <w:rPr>
      <w:b/>
      <w:sz w:val="40"/>
    </w:rPr>
  </w:style>
  <w:style w:type="paragraph" w:styleId="Heading2">
    <w:name w:val="heading 2"/>
    <w:basedOn w:val="Normal"/>
    <w:next w:val="Normal"/>
    <w:qFormat/>
    <w:rsid w:val="00366CE6"/>
    <w:pPr>
      <w:keepNext/>
      <w:numPr>
        <w:ilvl w:val="1"/>
        <w:numId w:val="1"/>
      </w:numPr>
      <w:tabs>
        <w:tab w:val="left" w:pos="720"/>
        <w:tab w:val="left" w:pos="1440"/>
        <w:tab w:val="left" w:pos="2160"/>
      </w:tabs>
      <w:jc w:val="both"/>
      <w:outlineLvl w:val="1"/>
    </w:pPr>
    <w:rPr>
      <w:b/>
      <w:bCs/>
    </w:rPr>
  </w:style>
  <w:style w:type="paragraph" w:styleId="Heading3">
    <w:name w:val="heading 3"/>
    <w:basedOn w:val="Normal"/>
    <w:next w:val="Normal"/>
    <w:qFormat/>
    <w:rsid w:val="00366CE6"/>
    <w:pPr>
      <w:keepNext/>
      <w:numPr>
        <w:ilvl w:val="2"/>
        <w:numId w:val="1"/>
      </w:numPr>
      <w:tabs>
        <w:tab w:val="left" w:pos="1440"/>
        <w:tab w:val="left" w:pos="2160"/>
      </w:tabs>
      <w:jc w:val="both"/>
      <w:outlineLvl w:val="2"/>
    </w:pPr>
    <w:rPr>
      <w:b/>
      <w:sz w:val="26"/>
    </w:rPr>
  </w:style>
  <w:style w:type="paragraph" w:styleId="Heading4">
    <w:name w:val="heading 4"/>
    <w:basedOn w:val="Normal"/>
    <w:next w:val="Normal"/>
    <w:qFormat/>
    <w:rsid w:val="00366CE6"/>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66CE6"/>
    <w:pPr>
      <w:numPr>
        <w:ilvl w:val="4"/>
        <w:numId w:val="1"/>
      </w:numPr>
      <w:spacing w:before="240" w:after="60"/>
      <w:outlineLvl w:val="4"/>
    </w:pPr>
    <w:rPr>
      <w:b/>
      <w:bCs/>
      <w:i/>
      <w:iCs/>
      <w:sz w:val="26"/>
      <w:szCs w:val="26"/>
    </w:rPr>
  </w:style>
  <w:style w:type="paragraph" w:styleId="Heading6">
    <w:name w:val="heading 6"/>
    <w:basedOn w:val="Normal"/>
    <w:next w:val="Normal"/>
    <w:qFormat/>
    <w:rsid w:val="00366CE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366CE6"/>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366CE6"/>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366CE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366CE6"/>
  </w:style>
  <w:style w:type="paragraph" w:customStyle="1" w:styleId="InsideAddress">
    <w:name w:val="Inside Address"/>
    <w:basedOn w:val="Normal"/>
    <w:rsid w:val="00366CE6"/>
  </w:style>
  <w:style w:type="paragraph" w:styleId="Salutation">
    <w:name w:val="Salutation"/>
    <w:basedOn w:val="Normal"/>
    <w:next w:val="Normal"/>
    <w:rsid w:val="00366CE6"/>
  </w:style>
  <w:style w:type="paragraph" w:styleId="BodyText">
    <w:name w:val="Body Text"/>
    <w:basedOn w:val="Normal"/>
    <w:rsid w:val="00366CE6"/>
    <w:pPr>
      <w:spacing w:after="120"/>
    </w:pPr>
  </w:style>
  <w:style w:type="paragraph" w:styleId="Date">
    <w:name w:val="Date"/>
    <w:basedOn w:val="Normal"/>
    <w:next w:val="Normal"/>
    <w:rsid w:val="00366CE6"/>
  </w:style>
  <w:style w:type="paragraph" w:styleId="Closing">
    <w:name w:val="Closing"/>
    <w:basedOn w:val="Normal"/>
    <w:rsid w:val="00366CE6"/>
  </w:style>
  <w:style w:type="paragraph" w:styleId="Signature">
    <w:name w:val="Signature"/>
    <w:basedOn w:val="Normal"/>
    <w:rsid w:val="00366CE6"/>
  </w:style>
  <w:style w:type="paragraph" w:styleId="Header">
    <w:name w:val="header"/>
    <w:basedOn w:val="Normal"/>
    <w:rsid w:val="00366CE6"/>
    <w:pPr>
      <w:tabs>
        <w:tab w:val="center" w:pos="4320"/>
        <w:tab w:val="right" w:pos="8640"/>
      </w:tabs>
    </w:pPr>
  </w:style>
  <w:style w:type="paragraph" w:styleId="Footer">
    <w:name w:val="footer"/>
    <w:basedOn w:val="Normal"/>
    <w:rsid w:val="00366CE6"/>
    <w:pPr>
      <w:tabs>
        <w:tab w:val="center" w:pos="4320"/>
        <w:tab w:val="right" w:pos="8640"/>
      </w:tabs>
    </w:pPr>
  </w:style>
  <w:style w:type="paragraph" w:styleId="Title">
    <w:name w:val="Title"/>
    <w:basedOn w:val="Normal"/>
    <w:qFormat/>
    <w:rsid w:val="00366CE6"/>
    <w:pPr>
      <w:jc w:val="center"/>
    </w:pPr>
    <w:rPr>
      <w:b/>
    </w:rPr>
  </w:style>
  <w:style w:type="character" w:styleId="PageNumber">
    <w:name w:val="page number"/>
    <w:basedOn w:val="DefaultParagraphFont"/>
    <w:rsid w:val="00366CE6"/>
  </w:style>
  <w:style w:type="paragraph" w:styleId="BlockText">
    <w:name w:val="Block Text"/>
    <w:basedOn w:val="Normal"/>
    <w:rsid w:val="00366C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5" w:hanging="720"/>
    </w:pPr>
    <w:rPr>
      <w:rFonts w:ascii="Times New Roman" w:hAnsi="Times New Roman"/>
      <w:sz w:val="22"/>
    </w:rPr>
  </w:style>
  <w:style w:type="paragraph" w:styleId="BodyTextIndent2">
    <w:name w:val="Body Text Indent 2"/>
    <w:basedOn w:val="Normal"/>
    <w:rsid w:val="00366CE6"/>
    <w:pPr>
      <w:widowControl w:val="0"/>
      <w:ind w:left="720"/>
      <w:jc w:val="both"/>
    </w:pPr>
    <w:rPr>
      <w:rFonts w:ascii="Times New Roman" w:hAnsi="Times New Roman"/>
      <w:sz w:val="22"/>
    </w:rPr>
  </w:style>
  <w:style w:type="paragraph" w:styleId="BodyText2">
    <w:name w:val="Body Text 2"/>
    <w:basedOn w:val="Normal"/>
    <w:rsid w:val="00366CE6"/>
    <w:pPr>
      <w:tabs>
        <w:tab w:val="left" w:pos="720"/>
        <w:tab w:val="left" w:pos="1440"/>
        <w:tab w:val="left" w:pos="2160"/>
      </w:tabs>
      <w:jc w:val="both"/>
    </w:pPr>
  </w:style>
  <w:style w:type="paragraph" w:styleId="BodyTextIndent">
    <w:name w:val="Body Text Indent"/>
    <w:basedOn w:val="Normal"/>
    <w:rsid w:val="00366CE6"/>
    <w:pPr>
      <w:tabs>
        <w:tab w:val="left" w:pos="720"/>
        <w:tab w:val="left" w:pos="1440"/>
        <w:tab w:val="left" w:pos="2160"/>
      </w:tabs>
      <w:ind w:left="340"/>
      <w:jc w:val="both"/>
    </w:pPr>
  </w:style>
  <w:style w:type="paragraph" w:styleId="BodyTextIndent3">
    <w:name w:val="Body Text Indent 3"/>
    <w:basedOn w:val="Normal"/>
    <w:rsid w:val="00366CE6"/>
    <w:pPr>
      <w:tabs>
        <w:tab w:val="left" w:pos="851"/>
        <w:tab w:val="num" w:pos="1224"/>
        <w:tab w:val="left" w:pos="1440"/>
      </w:tabs>
      <w:ind w:left="1440"/>
      <w:jc w:val="both"/>
    </w:pPr>
  </w:style>
  <w:style w:type="paragraph" w:styleId="BalloonText">
    <w:name w:val="Balloon Text"/>
    <w:basedOn w:val="Normal"/>
    <w:semiHidden/>
    <w:rsid w:val="00366CE6"/>
    <w:rPr>
      <w:rFonts w:ascii="Tahoma" w:hAnsi="Tahoma" w:cs="Tahoma"/>
      <w:sz w:val="16"/>
      <w:szCs w:val="16"/>
    </w:rPr>
  </w:style>
  <w:style w:type="paragraph" w:styleId="ListParagraph">
    <w:name w:val="List Paragraph"/>
    <w:basedOn w:val="Normal"/>
    <w:uiPriority w:val="34"/>
    <w:qFormat/>
    <w:rsid w:val="00D6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draft.dot</Template>
  <TotalTime>30</TotalTime>
  <Pages>8</Pages>
  <Words>1440</Words>
  <Characters>7485</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Allocations Policy</vt:lpstr>
    </vt:vector>
  </TitlesOfParts>
  <Company>EAHP</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Allocations Policy</dc:title>
  <dc:creator>Fiona Gage</dc:creator>
  <cp:lastModifiedBy>Stephen Black</cp:lastModifiedBy>
  <cp:revision>5</cp:revision>
  <cp:lastPrinted>2011-08-09T10:22:00Z</cp:lastPrinted>
  <dcterms:created xsi:type="dcterms:W3CDTF">2021-04-21T08:12:00Z</dcterms:created>
  <dcterms:modified xsi:type="dcterms:W3CDTF">2021-08-12T08:25:00Z</dcterms:modified>
</cp:coreProperties>
</file>